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B6F5" w14:textId="7F5137FB" w:rsidR="00F05757" w:rsidRPr="00CE520A" w:rsidRDefault="00F05757" w:rsidP="00F05757">
      <w:pPr>
        <w:autoSpaceDE w:val="0"/>
        <w:autoSpaceDN w:val="0"/>
        <w:adjustRightInd w:val="0"/>
        <w:spacing w:after="120" w:line="360" w:lineRule="auto"/>
        <w:jc w:val="center"/>
        <w:rPr>
          <w:rFonts w:ascii="Bookman Old Style" w:hAnsi="Bookman Old Style" w:cs="Times New Roman"/>
          <w:b/>
          <w:bCs/>
          <w:color w:val="002060"/>
          <w:u w:val="single"/>
        </w:rPr>
      </w:pPr>
      <w:r w:rsidRPr="00CE520A">
        <w:rPr>
          <w:rFonts w:ascii="Bookman Old Style" w:hAnsi="Bookman Old Style"/>
          <w:noProof/>
          <w:lang w:eastAsia="it-IT"/>
        </w:rPr>
        <w:drawing>
          <wp:inline distT="0" distB="0" distL="0" distR="0" wp14:anchorId="69DD81D5" wp14:editId="71CAA6B6">
            <wp:extent cx="796290" cy="1177127"/>
            <wp:effectExtent l="0" t="0" r="3810" b="4445"/>
            <wp:docPr id="183538270" name="Immagine 2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490" cy="1183335"/>
                    </a:xfrm>
                    <a:prstGeom prst="rect">
                      <a:avLst/>
                    </a:prstGeom>
                  </pic:spPr>
                </pic:pic>
              </a:graphicData>
            </a:graphic>
          </wp:inline>
        </w:drawing>
      </w:r>
    </w:p>
    <w:p w14:paraId="1A171A05" w14:textId="09ADA803" w:rsidR="00F05757" w:rsidRDefault="00F05757" w:rsidP="00F05757">
      <w:pPr>
        <w:autoSpaceDE w:val="0"/>
        <w:autoSpaceDN w:val="0"/>
        <w:adjustRightInd w:val="0"/>
        <w:spacing w:after="120" w:line="360" w:lineRule="auto"/>
        <w:jc w:val="center"/>
        <w:rPr>
          <w:rFonts w:ascii="Bookman Old Style" w:hAnsi="Bookman Old Style" w:cs="Times New Roman"/>
          <w:b/>
          <w:bCs/>
          <w:color w:val="002060"/>
          <w:u w:val="single"/>
        </w:rPr>
      </w:pPr>
    </w:p>
    <w:p w14:paraId="0BB8BCA2" w14:textId="77777777" w:rsidR="0042566A" w:rsidRPr="0042566A" w:rsidRDefault="00F05757" w:rsidP="00CE520A">
      <w:pPr>
        <w:autoSpaceDE w:val="0"/>
        <w:autoSpaceDN w:val="0"/>
        <w:adjustRightInd w:val="0"/>
        <w:spacing w:after="0" w:line="240" w:lineRule="auto"/>
        <w:jc w:val="center"/>
        <w:rPr>
          <w:rFonts w:ascii="Bookman Old Style" w:hAnsi="Bookman Old Style" w:cs="Times New Roman"/>
          <w:b/>
          <w:bCs/>
          <w:sz w:val="24"/>
          <w:szCs w:val="24"/>
        </w:rPr>
      </w:pPr>
      <w:r w:rsidRPr="0042566A">
        <w:rPr>
          <w:rFonts w:ascii="Bookman Old Style" w:hAnsi="Bookman Old Style" w:cs="Times New Roman"/>
          <w:b/>
          <w:bCs/>
          <w:sz w:val="24"/>
          <w:szCs w:val="24"/>
        </w:rPr>
        <w:t xml:space="preserve">Nota sintetica delle norme d’interesse dei Comuni </w:t>
      </w:r>
    </w:p>
    <w:p w14:paraId="513C4203" w14:textId="77777777" w:rsidR="0042566A" w:rsidRDefault="0042566A" w:rsidP="00CE520A">
      <w:pPr>
        <w:autoSpaceDE w:val="0"/>
        <w:autoSpaceDN w:val="0"/>
        <w:adjustRightInd w:val="0"/>
        <w:spacing w:after="0" w:line="240" w:lineRule="auto"/>
        <w:jc w:val="center"/>
        <w:rPr>
          <w:rFonts w:ascii="Bookman Old Style" w:hAnsi="Bookman Old Style" w:cs="Times New Roman"/>
          <w:b/>
          <w:bCs/>
        </w:rPr>
      </w:pPr>
    </w:p>
    <w:p w14:paraId="6118B499" w14:textId="544B1E6A" w:rsidR="00F05757" w:rsidRPr="00AC2D08" w:rsidRDefault="0042566A" w:rsidP="00CE520A">
      <w:pPr>
        <w:autoSpaceDE w:val="0"/>
        <w:autoSpaceDN w:val="0"/>
        <w:adjustRightInd w:val="0"/>
        <w:spacing w:after="0" w:line="240" w:lineRule="auto"/>
        <w:jc w:val="center"/>
        <w:rPr>
          <w:rFonts w:ascii="Bookman Old Style" w:hAnsi="Bookman Old Style" w:cs="Times New Roman"/>
          <w:b/>
          <w:bCs/>
        </w:rPr>
      </w:pPr>
      <w:r>
        <w:rPr>
          <w:rFonts w:ascii="Bookman Old Style" w:hAnsi="Bookman Old Style" w:cs="TimesNewRomanPSMT"/>
          <w:b/>
          <w:bCs/>
        </w:rPr>
        <w:t>D</w:t>
      </w:r>
      <w:r w:rsidR="00AC2D08" w:rsidRPr="00AC2D08">
        <w:rPr>
          <w:rFonts w:ascii="Bookman Old Style" w:hAnsi="Bookman Old Style" w:cs="TimesNewRomanPSMT"/>
          <w:b/>
          <w:bCs/>
        </w:rPr>
        <w:t xml:space="preserve">ecreto-legge </w:t>
      </w:r>
      <w:r w:rsidR="00CE520A" w:rsidRPr="00AC2D08">
        <w:rPr>
          <w:rFonts w:ascii="Bookman Old Style" w:hAnsi="Bookman Old Style" w:cs="TimesNewRomanPSMT"/>
          <w:b/>
          <w:bCs/>
        </w:rPr>
        <w:t xml:space="preserve">25 maggio 2021 , n. </w:t>
      </w:r>
      <w:r w:rsidR="00CE520A" w:rsidRPr="00AC2D08">
        <w:rPr>
          <w:rFonts w:ascii="Bookman Old Style" w:hAnsi="Bookman Old Style" w:cs="TimesNewRomanPS-BoldMT"/>
          <w:b/>
          <w:bCs/>
        </w:rPr>
        <w:t xml:space="preserve">73 </w:t>
      </w:r>
      <w:r w:rsidR="00CE520A" w:rsidRPr="00AC2D08">
        <w:rPr>
          <w:rFonts w:ascii="Bookman Old Style" w:hAnsi="Bookman Old Style" w:cs="TimesNewRomanPSMT"/>
          <w:b/>
          <w:bCs/>
        </w:rPr>
        <w:t xml:space="preserve"> recante “</w:t>
      </w:r>
      <w:r w:rsidR="00CE520A" w:rsidRPr="00AC2D08">
        <w:rPr>
          <w:rFonts w:ascii="Bookman Old Style" w:hAnsi="Bookman Old Style" w:cs="TimesNewRomanPS-BoldMT"/>
          <w:b/>
          <w:bCs/>
          <w:i/>
          <w:iCs/>
        </w:rPr>
        <w:t>Misure urgenti connesse all’emergenza da COVID-19, per le imprese, il lavoro, i giovani, la salute e i servizi territoriali</w:t>
      </w:r>
      <w:r w:rsidR="00CE520A" w:rsidRPr="00AC2D08">
        <w:rPr>
          <w:rFonts w:ascii="Bookman Old Style" w:hAnsi="Bookman Old Style" w:cs="TimesNewRomanPS-BoldMT"/>
          <w:b/>
          <w:bCs/>
        </w:rPr>
        <w:t xml:space="preserve">” cd </w:t>
      </w:r>
      <w:r w:rsidR="00F05757" w:rsidRPr="00AC2D08">
        <w:rPr>
          <w:rFonts w:ascii="Bookman Old Style" w:hAnsi="Bookman Old Style" w:cs="Times New Roman"/>
          <w:b/>
          <w:bCs/>
          <w:i/>
          <w:iCs/>
        </w:rPr>
        <w:t>sostegni bis</w:t>
      </w:r>
    </w:p>
    <w:p w14:paraId="2FB3232A" w14:textId="77777777" w:rsidR="00CE520A" w:rsidRPr="00614483" w:rsidRDefault="00CE520A" w:rsidP="00CE520A">
      <w:pPr>
        <w:autoSpaceDE w:val="0"/>
        <w:autoSpaceDN w:val="0"/>
        <w:adjustRightInd w:val="0"/>
        <w:spacing w:after="0" w:line="240" w:lineRule="auto"/>
        <w:rPr>
          <w:rFonts w:ascii="Bookman Old Style" w:hAnsi="Bookman Old Style" w:cs="Times New Roman"/>
          <w:b/>
          <w:bCs/>
          <w:u w:val="single"/>
        </w:rPr>
      </w:pPr>
    </w:p>
    <w:p w14:paraId="3F7337EB" w14:textId="77777777" w:rsidR="0042566A" w:rsidRDefault="0042566A" w:rsidP="00D92D33">
      <w:pPr>
        <w:autoSpaceDE w:val="0"/>
        <w:autoSpaceDN w:val="0"/>
        <w:adjustRightInd w:val="0"/>
        <w:spacing w:after="0" w:line="240" w:lineRule="auto"/>
        <w:jc w:val="both"/>
        <w:rPr>
          <w:rFonts w:ascii="Bookman Old Style" w:hAnsi="Bookman Old Style" w:cs="TimesNewRomanPS-BoldMT"/>
          <w:b/>
          <w:bCs/>
          <w:color w:val="0070C0"/>
        </w:rPr>
      </w:pPr>
    </w:p>
    <w:p w14:paraId="16B268D1" w14:textId="60DAA831" w:rsidR="0057774C" w:rsidRPr="0042566A" w:rsidRDefault="0057774C" w:rsidP="0042566A">
      <w:pPr>
        <w:autoSpaceDE w:val="0"/>
        <w:autoSpaceDN w:val="0"/>
        <w:adjustRightInd w:val="0"/>
        <w:spacing w:after="0" w:line="240" w:lineRule="auto"/>
        <w:contextualSpacing/>
        <w:rPr>
          <w:rFonts w:ascii="Bookman Old Style" w:hAnsi="Bookman Old Style" w:cs="Times-BoldItalic"/>
          <w:b/>
          <w:bCs/>
          <w:i/>
          <w:iCs/>
          <w:color w:val="002060"/>
        </w:rPr>
      </w:pPr>
      <w:r w:rsidRPr="0042566A">
        <w:rPr>
          <w:rFonts w:ascii="Bookman Old Style" w:hAnsi="Bookman Old Style" w:cs="Times-BoldItalic"/>
          <w:b/>
          <w:bCs/>
          <w:i/>
          <w:iCs/>
          <w:color w:val="002060"/>
        </w:rPr>
        <w:t>Premessa</w:t>
      </w:r>
    </w:p>
    <w:p w14:paraId="477C7917" w14:textId="2BFC09E9" w:rsidR="00D92D33" w:rsidRDefault="00D92D33" w:rsidP="00D92D33">
      <w:pPr>
        <w:autoSpaceDE w:val="0"/>
        <w:autoSpaceDN w:val="0"/>
        <w:adjustRightInd w:val="0"/>
        <w:spacing w:after="0" w:line="240" w:lineRule="auto"/>
        <w:jc w:val="both"/>
        <w:rPr>
          <w:rFonts w:ascii="Bookman Old Style" w:hAnsi="Bookman Old Style" w:cs="TimesNewRomanPS-BoldMT"/>
        </w:rPr>
      </w:pPr>
      <w:r w:rsidRPr="00CE520A">
        <w:rPr>
          <w:rFonts w:ascii="Bookman Old Style" w:hAnsi="Bookman Old Style" w:cs="TimesNewRomanPS-BoldMT"/>
        </w:rPr>
        <w:t xml:space="preserve">Il decreto legge </w:t>
      </w:r>
      <w:r w:rsidR="00493B21">
        <w:rPr>
          <w:rFonts w:ascii="Bookman Old Style" w:hAnsi="Bookman Old Style" w:cs="TimesNewRomanPS-BoldMT"/>
        </w:rPr>
        <w:t xml:space="preserve">in oggetto </w:t>
      </w:r>
      <w:r w:rsidRPr="00CE520A">
        <w:rPr>
          <w:rFonts w:ascii="Bookman Old Style" w:hAnsi="Bookman Old Style" w:cs="TimesNewRomanPS-BoldMT"/>
        </w:rPr>
        <w:t>è stato approvato dal Consiglio dei Ministri il 20 maggio u.s.</w:t>
      </w:r>
      <w:r w:rsidR="00506D49">
        <w:rPr>
          <w:rFonts w:ascii="Bookman Old Style" w:hAnsi="Bookman Old Style" w:cs="TimesNewRomanPS-BoldMT"/>
        </w:rPr>
        <w:t>,</w:t>
      </w:r>
      <w:r w:rsidR="00487B1B">
        <w:rPr>
          <w:rFonts w:ascii="Bookman Old Style" w:hAnsi="Bookman Old Style" w:cs="TimesNewRomanPS-BoldMT"/>
        </w:rPr>
        <w:t xml:space="preserve"> pubblicato sulla Gazzetta Ufficiale </w:t>
      </w:r>
      <w:r w:rsidR="00B9742E">
        <w:rPr>
          <w:rFonts w:ascii="Bookman Old Style" w:hAnsi="Bookman Old Style" w:cs="TimesNewRomanPS-BoldMT"/>
        </w:rPr>
        <w:t>n. 123 del 25 maggio 2021</w:t>
      </w:r>
      <w:r w:rsidR="00506D49">
        <w:rPr>
          <w:rFonts w:ascii="Bookman Old Style" w:hAnsi="Bookman Old Style" w:cs="TimesNewRomanPS-BoldMT"/>
        </w:rPr>
        <w:t xml:space="preserve"> ed è </w:t>
      </w:r>
      <w:r w:rsidR="00493B21">
        <w:rPr>
          <w:rFonts w:ascii="Bookman Old Style" w:hAnsi="Bookman Old Style" w:cs="TimesNewRomanPS-BoldMT"/>
        </w:rPr>
        <w:t xml:space="preserve">dunque in vigore dal </w:t>
      </w:r>
      <w:r w:rsidR="00506D49">
        <w:rPr>
          <w:rFonts w:ascii="Bookman Old Style" w:hAnsi="Bookman Old Style" w:cs="TimesNewRomanPS-BoldMT"/>
        </w:rPr>
        <w:t>26 maggio</w:t>
      </w:r>
      <w:r w:rsidR="00493B21">
        <w:rPr>
          <w:rFonts w:ascii="Bookman Old Style" w:hAnsi="Bookman Old Style" w:cs="TimesNewRomanPS-BoldMT"/>
        </w:rPr>
        <w:t xml:space="preserve"> 2021. </w:t>
      </w:r>
    </w:p>
    <w:p w14:paraId="05E35F28" w14:textId="6F95F9E9" w:rsidR="0042566A" w:rsidRPr="00CE520A" w:rsidRDefault="0042566A" w:rsidP="00D92D33">
      <w:pPr>
        <w:autoSpaceDE w:val="0"/>
        <w:autoSpaceDN w:val="0"/>
        <w:adjustRightInd w:val="0"/>
        <w:spacing w:after="0" w:line="240" w:lineRule="auto"/>
        <w:jc w:val="both"/>
        <w:rPr>
          <w:rFonts w:ascii="Bookman Old Style" w:hAnsi="Bookman Old Style" w:cs="TimesNewRomanPS-BoldMT"/>
        </w:rPr>
      </w:pPr>
      <w:r>
        <w:rPr>
          <w:rFonts w:ascii="Bookman Old Style" w:hAnsi="Bookman Old Style" w:cs="TimesNewRomanPS-BoldMT"/>
        </w:rPr>
        <w:t>Verrà trasmesso alla Camera dei Deputati in prima lettura per la conversione in legge.</w:t>
      </w:r>
    </w:p>
    <w:p w14:paraId="27B13457" w14:textId="77777777" w:rsidR="00D92D33" w:rsidRPr="00CE520A" w:rsidRDefault="00D92D33" w:rsidP="00D92D33">
      <w:pPr>
        <w:autoSpaceDE w:val="0"/>
        <w:autoSpaceDN w:val="0"/>
        <w:adjustRightInd w:val="0"/>
        <w:spacing w:after="0" w:line="240" w:lineRule="auto"/>
        <w:jc w:val="both"/>
        <w:rPr>
          <w:rFonts w:ascii="Bookman Old Style" w:hAnsi="Bookman Old Style" w:cs="TimesNewRomanPS-BoldMT"/>
        </w:rPr>
      </w:pPr>
      <w:r w:rsidRPr="00CE520A">
        <w:rPr>
          <w:rFonts w:ascii="Bookman Old Style" w:hAnsi="Bookman Old Style" w:cs="TimesNewRomanPS-BoldMT"/>
        </w:rPr>
        <w:t>Si riporta di seguito una nota con i contenuti di maggior interesse per i Comuni.</w:t>
      </w:r>
    </w:p>
    <w:p w14:paraId="35DA4A21" w14:textId="77777777" w:rsidR="00D27D5E" w:rsidRPr="00CE520A" w:rsidRDefault="00D27D5E" w:rsidP="00D92D33">
      <w:pPr>
        <w:autoSpaceDE w:val="0"/>
        <w:autoSpaceDN w:val="0"/>
        <w:adjustRightInd w:val="0"/>
        <w:spacing w:after="0" w:line="240" w:lineRule="auto"/>
        <w:jc w:val="both"/>
        <w:rPr>
          <w:rFonts w:ascii="Bookman Old Style" w:hAnsi="Bookman Old Style" w:cs="TimesNewRomanPS-BoldMT"/>
        </w:rPr>
      </w:pPr>
    </w:p>
    <w:p w14:paraId="0BD54234" w14:textId="77777777" w:rsidR="00F05757" w:rsidRPr="00CE520A" w:rsidRDefault="00F05757" w:rsidP="00F05757">
      <w:pPr>
        <w:autoSpaceDE w:val="0"/>
        <w:autoSpaceDN w:val="0"/>
        <w:adjustRightInd w:val="0"/>
        <w:spacing w:after="0" w:line="240" w:lineRule="auto"/>
        <w:jc w:val="both"/>
        <w:rPr>
          <w:rFonts w:ascii="Bookman Old Style" w:hAnsi="Bookman Old Style" w:cs="TimesNewRomanPSMT"/>
          <w:b/>
          <w:bCs/>
        </w:rPr>
      </w:pPr>
    </w:p>
    <w:p w14:paraId="466FEB8C" w14:textId="77777777" w:rsidR="00F05757" w:rsidRPr="00CE520A" w:rsidRDefault="00F05757" w:rsidP="00F05757">
      <w:pPr>
        <w:numPr>
          <w:ilvl w:val="0"/>
          <w:numId w:val="1"/>
        </w:numPr>
        <w:autoSpaceDE w:val="0"/>
        <w:autoSpaceDN w:val="0"/>
        <w:adjustRightInd w:val="0"/>
        <w:spacing w:after="0" w:line="240" w:lineRule="auto"/>
        <w:contextualSpacing/>
        <w:rPr>
          <w:rFonts w:ascii="Bookman Old Style" w:hAnsi="Bookman Old Style" w:cs="Times-BoldItalic"/>
          <w:b/>
          <w:bCs/>
          <w:i/>
          <w:iCs/>
          <w:color w:val="002060"/>
        </w:rPr>
      </w:pPr>
      <w:r w:rsidRPr="00CE520A">
        <w:rPr>
          <w:rFonts w:ascii="Bookman Old Style" w:hAnsi="Bookman Old Style" w:cs="Times-BoldItalic"/>
          <w:b/>
          <w:bCs/>
          <w:i/>
          <w:iCs/>
          <w:color w:val="002060"/>
        </w:rPr>
        <w:t>Agevolazioni Tari (Art. 6)</w:t>
      </w:r>
    </w:p>
    <w:p w14:paraId="4EAC34BF" w14:textId="77777777" w:rsidR="00F05757" w:rsidRPr="00CE520A" w:rsidRDefault="00F05757" w:rsidP="00F05757">
      <w:pPr>
        <w:autoSpaceDE w:val="0"/>
        <w:autoSpaceDN w:val="0"/>
        <w:adjustRightInd w:val="0"/>
        <w:spacing w:after="0" w:line="240" w:lineRule="auto"/>
        <w:jc w:val="center"/>
        <w:rPr>
          <w:rFonts w:ascii="Bookman Old Style" w:hAnsi="Bookman Old Style" w:cs="Times-BoldItalic"/>
          <w:b/>
          <w:bCs/>
          <w:i/>
          <w:iCs/>
          <w:color w:val="000000"/>
        </w:rPr>
      </w:pPr>
    </w:p>
    <w:p w14:paraId="3F7069E4" w14:textId="77777777" w:rsidR="00F05757" w:rsidRPr="00D92716" w:rsidRDefault="00F05757" w:rsidP="00D92716">
      <w:pPr>
        <w:autoSpaceDE w:val="0"/>
        <w:autoSpaceDN w:val="0"/>
        <w:adjustRightInd w:val="0"/>
        <w:spacing w:after="0" w:line="240" w:lineRule="auto"/>
        <w:jc w:val="both"/>
        <w:rPr>
          <w:rFonts w:ascii="Bookman Old Style" w:hAnsi="Bookman Old Style" w:cs="Times-Roman"/>
          <w:color w:val="19191A"/>
        </w:rPr>
      </w:pPr>
      <w:r w:rsidRPr="00CE520A">
        <w:rPr>
          <w:rFonts w:ascii="Bookman Old Style" w:hAnsi="Bookman Old Style" w:cs="Times-Roman"/>
          <w:color w:val="19191A"/>
        </w:rPr>
        <w:t xml:space="preserve">Per attenuare l’impatto finanziario sulle categorie economiche interessate dalle chiusure obbligatorie o dalle restrizioni nell’esercizio delle rispettive attività è istituito, nello stato di previsione del Ministero dell’interno, un fondo con una dotazione di </w:t>
      </w:r>
      <w:r w:rsidRPr="00CE520A">
        <w:rPr>
          <w:rFonts w:ascii="Bookman Old Style" w:hAnsi="Bookman Old Style" w:cs="Times-Roman"/>
          <w:b/>
          <w:bCs/>
          <w:color w:val="19191A"/>
          <w:u w:val="single"/>
        </w:rPr>
        <w:t>600 milioni di euro</w:t>
      </w:r>
      <w:r w:rsidRPr="00CE520A">
        <w:rPr>
          <w:rFonts w:ascii="Bookman Old Style" w:hAnsi="Bookman Old Style" w:cs="Times-Roman"/>
          <w:b/>
          <w:bCs/>
          <w:color w:val="19191A"/>
        </w:rPr>
        <w:t xml:space="preserve"> per l’anno 2021, finalizzato alla concessione da parte dei comuni di una riduzione della Tari </w:t>
      </w:r>
      <w:r w:rsidRPr="00CE520A">
        <w:rPr>
          <w:rFonts w:ascii="Bookman Old Style" w:hAnsi="Bookman Old Style" w:cs="Times-Roman"/>
          <w:color w:val="19191A"/>
        </w:rPr>
        <w:t>di cui all’articolo 1, comma 639, della legge 27 dicembre 2013, n. 147, o della Tari corrispettiva, di cui all’articolo 1, comma 688, della medesima legge, in favore delle predette categorie economiche.</w:t>
      </w:r>
    </w:p>
    <w:p w14:paraId="569B15E3" w14:textId="04B04D71" w:rsidR="00F05757" w:rsidRPr="00D92716" w:rsidRDefault="00F05757" w:rsidP="00835C42">
      <w:pPr>
        <w:autoSpaceDE w:val="0"/>
        <w:autoSpaceDN w:val="0"/>
        <w:adjustRightInd w:val="0"/>
        <w:spacing w:after="0" w:line="240" w:lineRule="auto"/>
        <w:jc w:val="both"/>
        <w:rPr>
          <w:rFonts w:ascii="Bookman Old Style" w:hAnsi="Bookman Old Style" w:cs="Times-Roman"/>
        </w:rPr>
      </w:pPr>
      <w:r w:rsidRPr="00D92716">
        <w:rPr>
          <w:rFonts w:ascii="Bookman Old Style" w:hAnsi="Bookman Old Style" w:cs="Times-Roman"/>
        </w:rPr>
        <w:t>Le risorse vengono ripartite tra gli enti interessat</w:t>
      </w:r>
      <w:r w:rsidRPr="00835C42">
        <w:rPr>
          <w:rFonts w:ascii="Bookman Old Style" w:hAnsi="Bookman Old Style" w:cs="Times-Roman"/>
        </w:rPr>
        <w:t xml:space="preserve">i con decreto del Ministro dell'interno di concerto con il </w:t>
      </w:r>
      <w:r w:rsidR="00D92716" w:rsidRPr="00835C42">
        <w:rPr>
          <w:rFonts w:ascii="Bookman Old Style" w:hAnsi="Bookman Old Style" w:cs="Times-Roman"/>
        </w:rPr>
        <w:t>MEF</w:t>
      </w:r>
      <w:r w:rsidRPr="00835C42">
        <w:rPr>
          <w:rFonts w:ascii="Bookman Old Style" w:hAnsi="Bookman Old Style" w:cs="Times-Roman"/>
        </w:rPr>
        <w:t xml:space="preserve">, </w:t>
      </w:r>
      <w:r w:rsidR="00D92716" w:rsidRPr="00835C42">
        <w:rPr>
          <w:rFonts w:ascii="Bookman Old Style" w:hAnsi="Bookman Old Style" w:cs="TimesNewRomanPSMT"/>
        </w:rPr>
        <w:t xml:space="preserve">previa intesa in Conferenza Stato-Città ed autonomie locali, da adottare </w:t>
      </w:r>
      <w:r w:rsidRPr="00835C42">
        <w:rPr>
          <w:rFonts w:ascii="Bookman Old Style" w:hAnsi="Bookman Old Style" w:cs="Times-Roman"/>
        </w:rPr>
        <w:t>entro trenta giorni dall'entrata in vigore del presente decreto.</w:t>
      </w:r>
      <w:r w:rsidR="00835C42" w:rsidRPr="00835C42">
        <w:rPr>
          <w:rFonts w:ascii="Bookman Old Style" w:hAnsi="Bookman Old Style" w:cs="Times-Roman"/>
        </w:rPr>
        <w:t xml:space="preserve"> Il criterio di riparto è però già indicato dalla legge “</w:t>
      </w:r>
      <w:r w:rsidR="00835C42" w:rsidRPr="00835C42">
        <w:rPr>
          <w:rFonts w:ascii="Bookman Old Style" w:hAnsi="Bookman Old Style" w:cs="TimesNewRomanPSMT"/>
          <w:i/>
          <w:iCs/>
        </w:rPr>
        <w:t>in proporzione alla stima per ciascun ente dell’agevolazione massima riconducibile alle utenze non domestiche</w:t>
      </w:r>
      <w:r w:rsidR="00835C42" w:rsidRPr="00835C42">
        <w:rPr>
          <w:rFonts w:ascii="Bookman Old Style" w:hAnsi="Bookman Old Style" w:cs="TimesNewRomanPSMT"/>
        </w:rPr>
        <w:t xml:space="preserve">” </w:t>
      </w:r>
      <w:r w:rsidR="00835C42">
        <w:rPr>
          <w:rFonts w:ascii="Bookman Old Style" w:hAnsi="Bookman Old Style" w:cs="TimesNewRomanPSMT"/>
        </w:rPr>
        <w:t xml:space="preserve">per il 2020, </w:t>
      </w:r>
      <w:r w:rsidR="00835C42" w:rsidRPr="00835C42">
        <w:rPr>
          <w:rFonts w:ascii="Bookman Old Style" w:hAnsi="Bookman Old Style" w:cs="TimesNewRomanPSMT"/>
        </w:rPr>
        <w:t>di cui al DM “Certificazione”</w:t>
      </w:r>
      <w:r w:rsidR="00835C42">
        <w:rPr>
          <w:rFonts w:ascii="Bookman Old Style" w:hAnsi="Bookman Old Style" w:cs="TimesNewRomanPSMT"/>
        </w:rPr>
        <w:t xml:space="preserve"> (</w:t>
      </w:r>
      <w:r w:rsidR="00835C42" w:rsidRPr="00D92716">
        <w:rPr>
          <w:rFonts w:ascii="Bookman Old Style" w:hAnsi="Bookman Old Style" w:cs="Times-Roman"/>
        </w:rPr>
        <w:t>tabella</w:t>
      </w:r>
      <w:r w:rsidR="00835C42" w:rsidRPr="00CE520A">
        <w:rPr>
          <w:rFonts w:ascii="Bookman Old Style" w:hAnsi="Bookman Old Style" w:cs="Times-Roman"/>
        </w:rPr>
        <w:t xml:space="preserve"> 1 allegata</w:t>
      </w:r>
      <w:r w:rsidR="00835C42">
        <w:rPr>
          <w:rFonts w:ascii="Bookman Old Style" w:hAnsi="Bookman Old Style" w:cs="Times-Roman"/>
        </w:rPr>
        <w:t xml:space="preserve"> </w:t>
      </w:r>
      <w:r w:rsidR="00835C42" w:rsidRPr="00CE520A">
        <w:rPr>
          <w:rFonts w:ascii="Bookman Old Style" w:hAnsi="Bookman Old Style" w:cs="Times-Roman"/>
        </w:rPr>
        <w:t xml:space="preserve">al </w:t>
      </w:r>
      <w:r w:rsidR="00835C42">
        <w:rPr>
          <w:rFonts w:ascii="Bookman Old Style" w:hAnsi="Bookman Old Style" w:cs="Times-Roman"/>
        </w:rPr>
        <w:t xml:space="preserve">DM </w:t>
      </w:r>
      <w:proofErr w:type="spellStart"/>
      <w:r w:rsidR="00835C42">
        <w:rPr>
          <w:rFonts w:ascii="Bookman Old Style" w:hAnsi="Bookman Old Style" w:cs="Times-Roman"/>
        </w:rPr>
        <w:t>Mef</w:t>
      </w:r>
      <w:proofErr w:type="spellEnd"/>
      <w:r w:rsidR="00835C42">
        <w:rPr>
          <w:rFonts w:ascii="Bookman Old Style" w:hAnsi="Bookman Old Style" w:cs="Times-Roman"/>
        </w:rPr>
        <w:t xml:space="preserve">-RGS, </w:t>
      </w:r>
      <w:r w:rsidR="00835C42" w:rsidRPr="00CE520A">
        <w:rPr>
          <w:rFonts w:ascii="Bookman Old Style" w:hAnsi="Bookman Old Style" w:cs="Times-Roman"/>
        </w:rPr>
        <w:t>n. 59033 del 1° aprile 2021</w:t>
      </w:r>
      <w:r w:rsidR="00835C42">
        <w:rPr>
          <w:rFonts w:ascii="Bookman Old Style" w:hAnsi="Bookman Old Style" w:cs="Times-Roman"/>
        </w:rPr>
        <w:t>)</w:t>
      </w:r>
      <w:r w:rsidR="00835C42" w:rsidRPr="00835C42">
        <w:rPr>
          <w:rFonts w:ascii="Bookman Old Style" w:hAnsi="Bookman Old Style" w:cs="TimesNewRomanPSMT"/>
        </w:rPr>
        <w:t xml:space="preserve">. </w:t>
      </w:r>
      <w:r w:rsidR="00835C42" w:rsidRPr="00835C42">
        <w:rPr>
          <w:rFonts w:ascii="Bookman Old Style" w:hAnsi="Bookman Old Style" w:cs="TimesNewRomanPSMT"/>
          <w:b/>
          <w:bCs/>
        </w:rPr>
        <w:t>Gli importi relativ</w:t>
      </w:r>
      <w:r w:rsidR="00835C42">
        <w:rPr>
          <w:rFonts w:ascii="Bookman Old Style" w:hAnsi="Bookman Old Style" w:cs="TimesNewRomanPSMT"/>
          <w:b/>
          <w:bCs/>
        </w:rPr>
        <w:t>i</w:t>
      </w:r>
      <w:r w:rsidR="00835C42" w:rsidRPr="00835C42">
        <w:rPr>
          <w:rFonts w:ascii="Bookman Old Style" w:hAnsi="Bookman Old Style" w:cs="TimesNewRomanPSMT"/>
          <w:b/>
          <w:bCs/>
        </w:rPr>
        <w:t xml:space="preserve"> a ciascun Comune saranno quindi pubblicati a brevissimo</w:t>
      </w:r>
      <w:r w:rsidR="00835C42" w:rsidRPr="00835C42">
        <w:rPr>
          <w:rFonts w:ascii="Bookman Old Style" w:hAnsi="Bookman Old Style" w:cs="TimesNewRomanPSMT"/>
        </w:rPr>
        <w:t xml:space="preserve"> sui siti di Anci e IFEL.</w:t>
      </w:r>
    </w:p>
    <w:p w14:paraId="18635001" w14:textId="1BEF0554" w:rsidR="00F05757" w:rsidRPr="00CE520A" w:rsidRDefault="00F05757" w:rsidP="00D92716">
      <w:pPr>
        <w:autoSpaceDE w:val="0"/>
        <w:autoSpaceDN w:val="0"/>
        <w:adjustRightInd w:val="0"/>
        <w:spacing w:after="0" w:line="240" w:lineRule="auto"/>
        <w:jc w:val="both"/>
        <w:rPr>
          <w:rFonts w:ascii="Bookman Old Style" w:hAnsi="Bookman Old Style" w:cs="Times-Roman"/>
        </w:rPr>
      </w:pPr>
      <w:r w:rsidRPr="00D92716">
        <w:rPr>
          <w:rFonts w:ascii="Bookman Old Style" w:hAnsi="Bookman Old Style" w:cs="Times-Roman"/>
        </w:rPr>
        <w:t xml:space="preserve">I Comuni possono estendere le agevolazioni con oneri a carico del proprio bilancio, ovvero utilizzando le risorse assegnate nell’anno 2020 e non utilizzate, </w:t>
      </w:r>
      <w:r w:rsidR="00835C42">
        <w:rPr>
          <w:rFonts w:ascii="Bookman Old Style" w:hAnsi="Bookman Old Style" w:cs="Times-Roman"/>
        </w:rPr>
        <w:t>sempre a norma del DM “Certificazione” citato</w:t>
      </w:r>
      <w:r w:rsidRPr="00CE520A">
        <w:rPr>
          <w:rFonts w:ascii="Bookman Old Style" w:hAnsi="Bookman Old Style" w:cs="Times-Roman"/>
        </w:rPr>
        <w:t xml:space="preserve">, escludendo in ogni caso la ripartizione degli oneri a carico della platea degli utenti del servizio rifiuti. </w:t>
      </w:r>
    </w:p>
    <w:p w14:paraId="3500EE69" w14:textId="7C7DD01A" w:rsidR="00F05757" w:rsidRDefault="00F05757" w:rsidP="00F05757">
      <w:pPr>
        <w:autoSpaceDE w:val="0"/>
        <w:autoSpaceDN w:val="0"/>
        <w:adjustRightInd w:val="0"/>
        <w:spacing w:after="0" w:line="240" w:lineRule="auto"/>
        <w:jc w:val="both"/>
        <w:rPr>
          <w:rFonts w:ascii="Bookman Old Style" w:hAnsi="Bookman Old Style" w:cs="Times-Roman"/>
        </w:rPr>
      </w:pPr>
      <w:r w:rsidRPr="00CE520A">
        <w:rPr>
          <w:rFonts w:ascii="Bookman Old Style" w:hAnsi="Bookman Old Style" w:cs="Times-Roman"/>
        </w:rPr>
        <w:t>I comuni possono determinare, nel rispetto di criteri di semplificazione procedurale e, ovunque possibile, mediante strumenti telematici, le modalità per l’eventuale presentazione della comunicazione di accesso alla riduzione da parte del contribuente, con particolare riguardo alle attività economiche beneficiate.</w:t>
      </w:r>
    </w:p>
    <w:p w14:paraId="01A57893" w14:textId="77777777" w:rsidR="008B406C" w:rsidRPr="00CE520A" w:rsidRDefault="008B406C" w:rsidP="00F05757">
      <w:pPr>
        <w:autoSpaceDE w:val="0"/>
        <w:autoSpaceDN w:val="0"/>
        <w:adjustRightInd w:val="0"/>
        <w:spacing w:after="0" w:line="240" w:lineRule="auto"/>
        <w:jc w:val="both"/>
        <w:rPr>
          <w:rFonts w:ascii="Bookman Old Style" w:hAnsi="Bookman Old Style" w:cs="Times-Roman"/>
        </w:rPr>
      </w:pPr>
    </w:p>
    <w:p w14:paraId="7FC706E3" w14:textId="77777777" w:rsidR="00F05757" w:rsidRPr="00CE520A" w:rsidRDefault="00F05757" w:rsidP="00F05757">
      <w:pPr>
        <w:autoSpaceDE w:val="0"/>
        <w:autoSpaceDN w:val="0"/>
        <w:adjustRightInd w:val="0"/>
        <w:spacing w:after="0" w:line="240" w:lineRule="auto"/>
        <w:jc w:val="both"/>
        <w:rPr>
          <w:rFonts w:ascii="Bookman Old Style" w:hAnsi="Bookman Old Style" w:cs="Times-Roman"/>
        </w:rPr>
      </w:pPr>
    </w:p>
    <w:p w14:paraId="11601D04" w14:textId="77777777" w:rsidR="00F05757" w:rsidRPr="00CE520A" w:rsidRDefault="00F05757" w:rsidP="008B406C">
      <w:pPr>
        <w:keepNext/>
        <w:numPr>
          <w:ilvl w:val="0"/>
          <w:numId w:val="1"/>
        </w:numPr>
        <w:autoSpaceDE w:val="0"/>
        <w:autoSpaceDN w:val="0"/>
        <w:adjustRightInd w:val="0"/>
        <w:spacing w:after="0" w:line="240" w:lineRule="auto"/>
        <w:ind w:left="714" w:hanging="357"/>
        <w:contextualSpacing/>
        <w:rPr>
          <w:rFonts w:ascii="Bookman Old Style" w:hAnsi="Bookman Old Style" w:cs="Times-BoldItalic"/>
          <w:b/>
          <w:bCs/>
          <w:i/>
          <w:iCs/>
          <w:color w:val="002060"/>
        </w:rPr>
      </w:pPr>
      <w:r w:rsidRPr="00CE520A">
        <w:rPr>
          <w:rFonts w:ascii="Bookman Old Style" w:hAnsi="Bookman Old Style" w:cs="Times-BoldItalic"/>
          <w:b/>
          <w:bCs/>
          <w:i/>
          <w:iCs/>
          <w:color w:val="002060"/>
        </w:rPr>
        <w:t>Misure urgenti a sostegno del settore turistico, delle attività economiche e commerciali nelle Città d’Arte e bonus alberghi (Art. 7)</w:t>
      </w:r>
    </w:p>
    <w:p w14:paraId="2F45E152" w14:textId="77777777" w:rsidR="00F05757" w:rsidRPr="00CE520A" w:rsidRDefault="00F05757" w:rsidP="008B406C">
      <w:pPr>
        <w:keepNext/>
        <w:autoSpaceDE w:val="0"/>
        <w:autoSpaceDN w:val="0"/>
        <w:adjustRightInd w:val="0"/>
        <w:spacing w:after="0" w:line="240" w:lineRule="auto"/>
        <w:jc w:val="both"/>
        <w:rPr>
          <w:rFonts w:ascii="Bookman Old Style" w:hAnsi="Bookman Old Style" w:cs="Times New Roman"/>
          <w:color w:val="000000"/>
        </w:rPr>
      </w:pPr>
    </w:p>
    <w:p w14:paraId="26E1C97A" w14:textId="086144D0" w:rsidR="00F05757" w:rsidRPr="00CE520A" w:rsidRDefault="00F05757" w:rsidP="00F05757">
      <w:pPr>
        <w:spacing w:after="0" w:line="240" w:lineRule="auto"/>
        <w:rPr>
          <w:rFonts w:ascii="Bookman Old Style" w:eastAsia="Times New Roman" w:hAnsi="Bookman Old Style" w:cs="Courier New"/>
          <w:lang w:eastAsia="it-IT"/>
        </w:rPr>
      </w:pPr>
      <w:r w:rsidRPr="00CE520A">
        <w:rPr>
          <w:rFonts w:ascii="Bookman Old Style" w:hAnsi="Bookman Old Style"/>
        </w:rPr>
        <w:t xml:space="preserve">Viene incrementato di </w:t>
      </w:r>
      <w:r w:rsidRPr="00CE520A">
        <w:rPr>
          <w:rFonts w:ascii="Bookman Old Style" w:hAnsi="Bookman Old Style"/>
          <w:b/>
          <w:bCs/>
          <w:u w:val="single"/>
        </w:rPr>
        <w:t>150 milioni</w:t>
      </w:r>
      <w:r w:rsidRPr="00CE520A">
        <w:rPr>
          <w:rFonts w:ascii="Bookman Old Style" w:hAnsi="Bookman Old Style"/>
        </w:rPr>
        <w:t xml:space="preserve"> di euro il Fondo già previsto dal </w:t>
      </w:r>
      <w:proofErr w:type="spellStart"/>
      <w:r w:rsidRPr="00CE520A">
        <w:rPr>
          <w:rFonts w:ascii="Bookman Old Style" w:hAnsi="Bookman Old Style"/>
        </w:rPr>
        <w:t>d.l.</w:t>
      </w:r>
      <w:proofErr w:type="spellEnd"/>
      <w:r w:rsidRPr="00CE520A">
        <w:rPr>
          <w:rFonts w:ascii="Bookman Old Style" w:hAnsi="Bookman Old Style"/>
        </w:rPr>
        <w:t xml:space="preserve"> rilancio (art. 182, comma 1, </w:t>
      </w:r>
      <w:proofErr w:type="spellStart"/>
      <w:r w:rsidRPr="00CE520A">
        <w:rPr>
          <w:rFonts w:ascii="Bookman Old Style" w:hAnsi="Bookman Old Style"/>
        </w:rPr>
        <w:t>d.l</w:t>
      </w:r>
      <w:proofErr w:type="spellEnd"/>
      <w:r w:rsidRPr="00CE520A">
        <w:rPr>
          <w:rFonts w:ascii="Bookman Old Style" w:hAnsi="Bookman Old Style"/>
        </w:rPr>
        <w:t xml:space="preserve"> 34/2020) per sostenere le </w:t>
      </w:r>
      <w:r w:rsidRPr="00CE520A">
        <w:rPr>
          <w:rFonts w:ascii="Bookman Old Style" w:eastAsia="Times New Roman" w:hAnsi="Bookman Old Style" w:cs="Courier New"/>
          <w:lang w:eastAsia="it-IT"/>
        </w:rPr>
        <w:t>agenzie di viaggio e i tour operator.</w:t>
      </w:r>
    </w:p>
    <w:p w14:paraId="3EFB1A1F"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rPr>
      </w:pPr>
    </w:p>
    <w:p w14:paraId="4225F812" w14:textId="44B2CBC9" w:rsidR="00F05757" w:rsidRPr="00CE520A" w:rsidRDefault="00F05757" w:rsidP="00F05757">
      <w:pPr>
        <w:autoSpaceDE w:val="0"/>
        <w:autoSpaceDN w:val="0"/>
        <w:adjustRightInd w:val="0"/>
        <w:spacing w:after="0" w:line="240" w:lineRule="auto"/>
        <w:jc w:val="both"/>
        <w:rPr>
          <w:rFonts w:ascii="Bookman Old Style" w:hAnsi="Bookman Old Style" w:cs="Times New Roman"/>
        </w:rPr>
      </w:pPr>
      <w:r w:rsidRPr="00CE520A">
        <w:rPr>
          <w:rFonts w:ascii="Bookman Old Style" w:hAnsi="Bookman Old Style" w:cs="Times New Roman"/>
        </w:rPr>
        <w:lastRenderedPageBreak/>
        <w:t xml:space="preserve">Inoltre per il rilancio della attrattività turistica delle </w:t>
      </w:r>
      <w:r w:rsidRPr="00CE520A">
        <w:rPr>
          <w:rFonts w:ascii="Bookman Old Style" w:hAnsi="Bookman Old Style" w:cs="Times New Roman"/>
          <w:b/>
          <w:bCs/>
        </w:rPr>
        <w:t>città d’arte</w:t>
      </w:r>
      <w:r w:rsidRPr="00CE520A">
        <w:rPr>
          <w:rFonts w:ascii="Bookman Old Style" w:hAnsi="Bookman Old Style" w:cs="Times New Roman"/>
        </w:rPr>
        <w:t xml:space="preserve">, è istituito </w:t>
      </w:r>
      <w:r w:rsidRPr="00CE520A">
        <w:rPr>
          <w:rFonts w:ascii="Bookman Old Style" w:hAnsi="Bookman Old Style" w:cs="Times New Roman"/>
          <w:b/>
          <w:bCs/>
        </w:rPr>
        <w:t xml:space="preserve">un fondo di </w:t>
      </w:r>
      <w:r w:rsidRPr="00CE520A">
        <w:rPr>
          <w:rFonts w:ascii="Bookman Old Style" w:hAnsi="Bookman Old Style" w:cs="Times New Roman"/>
          <w:b/>
          <w:bCs/>
          <w:u w:val="single"/>
        </w:rPr>
        <w:t>50 milioni</w:t>
      </w:r>
      <w:r w:rsidRPr="00CE520A">
        <w:rPr>
          <w:rFonts w:ascii="Bookman Old Style" w:hAnsi="Bookman Old Style" w:cs="Times New Roman"/>
          <w:b/>
          <w:bCs/>
        </w:rPr>
        <w:t xml:space="preserve"> di euro per l’anno 2021, destinato all’erogazione di contributi in favore dei comuni classificati dall’ISTAT a vocazione culturale, storica, artistica e paesaggistica</w:t>
      </w:r>
      <w:r w:rsidRPr="00CE520A">
        <w:rPr>
          <w:rFonts w:ascii="Bookman Old Style" w:hAnsi="Bookman Old Style" w:cs="Times New Roman"/>
        </w:rPr>
        <w:t xml:space="preserve">, </w:t>
      </w:r>
      <w:r w:rsidRPr="00CE520A">
        <w:rPr>
          <w:rFonts w:ascii="Bookman Old Style" w:hAnsi="Bookman Old Style" w:cs="Times New Roman"/>
          <w:b/>
          <w:bCs/>
        </w:rPr>
        <w:t>nei cui territori sono ubicati siti riconosciuti dall’Unesco</w:t>
      </w:r>
      <w:r w:rsidRPr="00CE520A">
        <w:rPr>
          <w:rFonts w:ascii="Bookman Old Style" w:hAnsi="Bookman Old Style" w:cs="Times New Roman"/>
        </w:rPr>
        <w:t xml:space="preserve"> </w:t>
      </w:r>
      <w:r w:rsidRPr="00CE520A">
        <w:rPr>
          <w:rFonts w:ascii="Bookman Old Style" w:hAnsi="Bookman Old Style" w:cs="Times New Roman"/>
          <w:b/>
          <w:bCs/>
        </w:rPr>
        <w:t>patrimonio mondiale dell’umanità</w:t>
      </w:r>
      <w:r w:rsidRPr="00CE520A">
        <w:rPr>
          <w:rFonts w:ascii="Bookman Old Style" w:hAnsi="Bookman Old Style" w:cs="Times New Roman"/>
        </w:rPr>
        <w:t>, tenendo conto delle riduzioni di presenze turistiche nell’anno 2020 rispetto al 2019, da destinare ad iniziative di valorizzazione turistica dei centri storici e delle città d’arte. Le disposizioni di attuazione della norma sono stabilite con decreto del Ministero del turismo, di concerto con il Ministero dell’economia e delle finanze e d’intesa con la Conferenza unificata.</w:t>
      </w:r>
    </w:p>
    <w:p w14:paraId="1A40A581" w14:textId="3D1A0447" w:rsidR="00600B18" w:rsidRPr="00CE520A" w:rsidRDefault="00600B18" w:rsidP="00F05757">
      <w:pPr>
        <w:autoSpaceDE w:val="0"/>
        <w:autoSpaceDN w:val="0"/>
        <w:adjustRightInd w:val="0"/>
        <w:spacing w:after="0" w:line="240" w:lineRule="auto"/>
        <w:jc w:val="both"/>
        <w:rPr>
          <w:rFonts w:ascii="Bookman Old Style" w:hAnsi="Bookman Old Style" w:cs="Times New Roman"/>
        </w:rPr>
      </w:pPr>
    </w:p>
    <w:p w14:paraId="45AA9817"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rPr>
      </w:pPr>
    </w:p>
    <w:p w14:paraId="3C99841F" w14:textId="77777777" w:rsidR="00F05757" w:rsidRPr="00CE520A" w:rsidRDefault="00F05757" w:rsidP="00F05757">
      <w:pPr>
        <w:numPr>
          <w:ilvl w:val="0"/>
          <w:numId w:val="1"/>
        </w:numPr>
        <w:autoSpaceDE w:val="0"/>
        <w:autoSpaceDN w:val="0"/>
        <w:adjustRightInd w:val="0"/>
        <w:spacing w:after="0" w:line="240" w:lineRule="auto"/>
        <w:contextualSpacing/>
        <w:jc w:val="both"/>
        <w:rPr>
          <w:rFonts w:ascii="Bookman Old Style" w:hAnsi="Bookman Old Style" w:cs="Times-BoldItalic"/>
          <w:b/>
          <w:bCs/>
          <w:i/>
          <w:iCs/>
          <w:color w:val="002060"/>
        </w:rPr>
      </w:pPr>
      <w:r w:rsidRPr="00CE520A">
        <w:rPr>
          <w:rFonts w:ascii="Bookman Old Style" w:hAnsi="Bookman Old Style" w:cs="Times-BoldItalic"/>
          <w:b/>
          <w:bCs/>
          <w:i/>
          <w:iCs/>
          <w:color w:val="002060"/>
        </w:rPr>
        <w:t>Fondo di liquidità per il pagamento dei debiti commerciali degli enti territoriali (Art. 21)</w:t>
      </w:r>
    </w:p>
    <w:p w14:paraId="686E63F7"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p>
    <w:p w14:paraId="6DFDD83D" w14:textId="7C6A5E7C" w:rsidR="00F05757"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color w:val="000000"/>
        </w:rPr>
        <w:t xml:space="preserve">La dotazione del "Fondo per assicurare la liquidità per pagamenti dei debiti certi, liquidi ed esigibili", è incrementata di </w:t>
      </w:r>
      <w:r w:rsidRPr="00CE520A">
        <w:rPr>
          <w:rFonts w:ascii="Bookman Old Style" w:hAnsi="Bookman Old Style" w:cs="Times New Roman"/>
          <w:b/>
          <w:bCs/>
          <w:color w:val="000000"/>
        </w:rPr>
        <w:t>1.000 milioni di euro per l'anno 2021</w:t>
      </w:r>
      <w:r w:rsidRPr="00CE520A">
        <w:rPr>
          <w:rFonts w:ascii="Bookman Old Style" w:hAnsi="Bookman Old Style" w:cs="Times New Roman"/>
          <w:color w:val="000000"/>
        </w:rPr>
        <w:t xml:space="preserve">. L’incremento è attribuito alla "Sezione per assicurare la liquidità per pagamenti dei debiti certi, liquidi ed esigibili degli enti locali e delle regioni e province autonome per debiti diversi da quelli finanziari e sanitari". </w:t>
      </w:r>
      <w:r w:rsidR="00835C42">
        <w:rPr>
          <w:rFonts w:ascii="Bookman Old Style" w:hAnsi="Bookman Old Style" w:cs="Times New Roman"/>
          <w:color w:val="000000"/>
        </w:rPr>
        <w:t>Le modalità di attuazione (richiesta, termini per il pagamento ecc.) seguono le stesse regole stabilite per le precedenti anticipazioni.</w:t>
      </w:r>
    </w:p>
    <w:p w14:paraId="17B7AD3E" w14:textId="77777777" w:rsidR="008B406C" w:rsidRPr="00CE520A" w:rsidRDefault="008B406C" w:rsidP="00F05757">
      <w:pPr>
        <w:autoSpaceDE w:val="0"/>
        <w:autoSpaceDN w:val="0"/>
        <w:adjustRightInd w:val="0"/>
        <w:spacing w:after="0" w:line="240" w:lineRule="auto"/>
        <w:jc w:val="both"/>
        <w:rPr>
          <w:rFonts w:ascii="Bookman Old Style" w:hAnsi="Bookman Old Style" w:cs="Times New Roman"/>
        </w:rPr>
      </w:pPr>
    </w:p>
    <w:p w14:paraId="3E5D9060"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rPr>
      </w:pPr>
    </w:p>
    <w:p w14:paraId="2678823A" w14:textId="77777777" w:rsidR="00F05757" w:rsidRPr="00CE520A" w:rsidRDefault="00F05757" w:rsidP="00F05757">
      <w:pPr>
        <w:numPr>
          <w:ilvl w:val="0"/>
          <w:numId w:val="1"/>
        </w:numPr>
        <w:autoSpaceDE w:val="0"/>
        <w:autoSpaceDN w:val="0"/>
        <w:adjustRightInd w:val="0"/>
        <w:spacing w:after="0" w:line="240" w:lineRule="auto"/>
        <w:rPr>
          <w:rFonts w:ascii="Bookman Old Style" w:hAnsi="Bookman Old Style" w:cs="Times-BoldItalic"/>
          <w:b/>
          <w:bCs/>
          <w:i/>
          <w:iCs/>
          <w:color w:val="002060"/>
        </w:rPr>
      </w:pPr>
      <w:r w:rsidRPr="00CE520A">
        <w:rPr>
          <w:rFonts w:ascii="Bookman Old Style" w:hAnsi="Bookman Old Style" w:cs="Times-BoldItalic"/>
          <w:b/>
          <w:bCs/>
          <w:i/>
          <w:iCs/>
          <w:color w:val="002060"/>
        </w:rPr>
        <w:t>Disposizioni urgenti in materia di trasporto pubblico locale (Art. 51)</w:t>
      </w:r>
    </w:p>
    <w:p w14:paraId="7828AC41" w14:textId="77777777" w:rsidR="00F05757" w:rsidRPr="00CE520A" w:rsidRDefault="00F05757" w:rsidP="00F05757">
      <w:pPr>
        <w:autoSpaceDE w:val="0"/>
        <w:autoSpaceDN w:val="0"/>
        <w:adjustRightInd w:val="0"/>
        <w:spacing w:after="0" w:line="240" w:lineRule="auto"/>
        <w:rPr>
          <w:rFonts w:ascii="Bookman Old Style" w:hAnsi="Bookman Old Style" w:cs="Times New Roman"/>
          <w:color w:val="002060"/>
        </w:rPr>
      </w:pPr>
    </w:p>
    <w:p w14:paraId="4B653ADD"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color w:val="000000"/>
        </w:rPr>
        <w:t xml:space="preserve">Per la graduale ripresa delle attività economiche e sociali e per consentire l'erogazione di servizi aggiuntivi di trasporto pubblico locale e regionale, destinato anche a studenti, la dotazione del </w:t>
      </w:r>
      <w:r w:rsidRPr="00CE520A">
        <w:rPr>
          <w:rFonts w:ascii="Bookman Old Style" w:hAnsi="Bookman Old Style" w:cs="Times New Roman"/>
          <w:b/>
          <w:bCs/>
          <w:color w:val="000000"/>
        </w:rPr>
        <w:t>fondo per il trasporto pubblico locale</w:t>
      </w:r>
      <w:r w:rsidRPr="00CE520A">
        <w:rPr>
          <w:rFonts w:ascii="Bookman Old Style" w:hAnsi="Bookman Old Style" w:cs="Times New Roman"/>
          <w:color w:val="000000"/>
        </w:rPr>
        <w:t xml:space="preserve"> (art. 1, comma 816, L. 30 dicembre 2020, n. 178), </w:t>
      </w:r>
      <w:r w:rsidRPr="00CE520A">
        <w:rPr>
          <w:rFonts w:ascii="Bookman Old Style" w:hAnsi="Bookman Old Style" w:cs="Times New Roman"/>
          <w:b/>
          <w:bCs/>
          <w:color w:val="000000"/>
        </w:rPr>
        <w:t>è incrementata di ulteriori 450 milioni di euro per l’anno 2021</w:t>
      </w:r>
      <w:r w:rsidRPr="00CE520A">
        <w:rPr>
          <w:rFonts w:ascii="Bookman Old Style" w:hAnsi="Bookman Old Style" w:cs="Times New Roman"/>
          <w:color w:val="000000"/>
        </w:rPr>
        <w:t>.</w:t>
      </w:r>
    </w:p>
    <w:p w14:paraId="059016DE"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color w:val="000000"/>
        </w:rPr>
        <w:t>Le Regioni, le Provincie Autonome e i Comuni, possono anche ricorrere a operatori economici esercenti il servizio di trasporto di passeggeri su strada, nonché ai titolari di licenza per l'esercizio del servizio di taxi o di autorizzazione per l'esercizio del servizio di noleggio con conducente, stipulando mediante apposita convenzione ovvero imponendo obblighi di servizio.</w:t>
      </w:r>
    </w:p>
    <w:p w14:paraId="03C9E951"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color w:val="000000"/>
        </w:rPr>
        <w:t xml:space="preserve">Le risorse sono assegnate entro 60 giorni dalla data di entrata in vigore del </w:t>
      </w:r>
      <w:proofErr w:type="spellStart"/>
      <w:r w:rsidRPr="00CE520A">
        <w:rPr>
          <w:rFonts w:ascii="Bookman Old Style" w:hAnsi="Bookman Old Style" w:cs="Times New Roman"/>
          <w:color w:val="000000"/>
        </w:rPr>
        <w:t>d.l.</w:t>
      </w:r>
      <w:proofErr w:type="spellEnd"/>
      <w:r w:rsidRPr="00CE520A">
        <w:rPr>
          <w:rFonts w:ascii="Bookman Old Style" w:hAnsi="Bookman Old Style" w:cs="Times New Roman"/>
          <w:color w:val="000000"/>
        </w:rPr>
        <w:t xml:space="preserve"> con decreto del Ministro delle infrastrutture e della mobilità sostenibili, di concerto con il Ministro dell'economia e delle finanze, previa intesa in sede di Conferenza unificata.</w:t>
      </w:r>
    </w:p>
    <w:p w14:paraId="74087169"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p>
    <w:p w14:paraId="02F3B0B3" w14:textId="77777777" w:rsidR="00F05757" w:rsidRPr="00CE520A" w:rsidRDefault="00F05757" w:rsidP="00F05757">
      <w:pPr>
        <w:autoSpaceDE w:val="0"/>
        <w:autoSpaceDN w:val="0"/>
        <w:adjustRightInd w:val="0"/>
        <w:spacing w:after="0" w:line="240" w:lineRule="auto"/>
        <w:ind w:left="720"/>
        <w:rPr>
          <w:rFonts w:ascii="Bookman Old Style" w:hAnsi="Bookman Old Style" w:cs="Times-BoldItalic"/>
          <w:b/>
          <w:bCs/>
          <w:i/>
          <w:iCs/>
          <w:color w:val="0070C0"/>
        </w:rPr>
      </w:pPr>
    </w:p>
    <w:p w14:paraId="59CE77B3" w14:textId="77777777" w:rsidR="00F05757" w:rsidRPr="00CE520A" w:rsidRDefault="00F05757" w:rsidP="00F05757">
      <w:pPr>
        <w:numPr>
          <w:ilvl w:val="0"/>
          <w:numId w:val="1"/>
        </w:numPr>
        <w:autoSpaceDE w:val="0"/>
        <w:autoSpaceDN w:val="0"/>
        <w:adjustRightInd w:val="0"/>
        <w:spacing w:after="0" w:line="240" w:lineRule="auto"/>
        <w:jc w:val="both"/>
        <w:rPr>
          <w:rFonts w:ascii="Bookman Old Style" w:hAnsi="Bookman Old Style" w:cs="Times-BoldItalic"/>
          <w:b/>
          <w:bCs/>
          <w:i/>
          <w:iCs/>
          <w:color w:val="002060"/>
        </w:rPr>
      </w:pPr>
      <w:r w:rsidRPr="00CE520A">
        <w:rPr>
          <w:rFonts w:ascii="Bookman Old Style" w:hAnsi="Bookman Old Style" w:cs="Times-BoldItalic"/>
          <w:b/>
          <w:bCs/>
          <w:i/>
          <w:iCs/>
          <w:color w:val="002060"/>
        </w:rPr>
        <w:t>Misure di sostegno all’equilibrio di bilancio degli enti locali, proroga di termini concernenti rendiconti e bilanci degli enti locali e fusione di comuni (Art. 52)</w:t>
      </w:r>
    </w:p>
    <w:p w14:paraId="60D30277"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p>
    <w:p w14:paraId="1A128A6A"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b/>
          <w:bCs/>
          <w:color w:val="000000"/>
        </w:rPr>
      </w:pPr>
      <w:r w:rsidRPr="00CE520A">
        <w:rPr>
          <w:rFonts w:ascii="Bookman Old Style" w:hAnsi="Bookman Old Style" w:cs="Times New Roman"/>
          <w:b/>
          <w:bCs/>
          <w:color w:val="000000"/>
        </w:rPr>
        <w:t xml:space="preserve">È istituito, presso il Ministero dell’interno, un </w:t>
      </w:r>
      <w:r w:rsidRPr="00CE520A">
        <w:rPr>
          <w:rFonts w:ascii="Bookman Old Style" w:hAnsi="Bookman Old Style" w:cs="Times New Roman"/>
          <w:b/>
          <w:bCs/>
          <w:color w:val="000000"/>
          <w:u w:val="single"/>
        </w:rPr>
        <w:t>fondo di 500 milioni</w:t>
      </w:r>
      <w:r w:rsidRPr="00CE520A">
        <w:rPr>
          <w:rFonts w:ascii="Bookman Old Style" w:hAnsi="Bookman Old Style" w:cs="Times New Roman"/>
          <w:b/>
          <w:bCs/>
          <w:color w:val="000000"/>
        </w:rPr>
        <w:t xml:space="preserve"> di euro per l’anno 2021, in favore degli enti locali che hanno peggiorato il disavanzo di amministrazione al 31 dicembre 2019 rispetto all’esercizio precedente a seguito della ricostituzione del fondo anticipazioni di liquidità se il maggiore disavanzo determinato dall’incremento del fondo anticipazione di liquidità è superiore il 10 per cento delle entrate correnti accertate, risultante dal rendiconto 2019 inviato alla BDAP. </w:t>
      </w:r>
    </w:p>
    <w:p w14:paraId="5454CFA9"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color w:val="000000"/>
        </w:rPr>
        <w:t>Il fondo è destinato alla riduzione del disavanzo ed è ripartito con decreto del Ministro dell’interno, di concerto con il MEF, d’intesa con la Conferenza Stato città ed autonomie locali, entro 30 giorni dalla data di conversione del presente decreto</w:t>
      </w:r>
    </w:p>
    <w:p w14:paraId="54AF675A"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p>
    <w:p w14:paraId="681CC32E" w14:textId="743744A0"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b/>
          <w:bCs/>
          <w:color w:val="000000"/>
        </w:rPr>
        <w:t>Per gli enti locali che hanno incassato le anticipazioni di liquidità</w:t>
      </w:r>
      <w:r w:rsidRPr="00CE520A">
        <w:rPr>
          <w:rFonts w:ascii="Bookman Old Style" w:hAnsi="Bookman Old Style" w:cs="Times New Roman"/>
          <w:color w:val="000000"/>
        </w:rPr>
        <w:t xml:space="preserve"> di cui al decreto-legge 8 aprile 2013, n. 35, convertito, con modificazioni, dalla legge 6 giugno 2013, n. 64, e successivi rifinanziamenti</w:t>
      </w:r>
      <w:r w:rsidR="00493B21">
        <w:rPr>
          <w:rFonts w:ascii="Bookman Old Style" w:hAnsi="Bookman Old Style" w:cs="Times New Roman"/>
          <w:color w:val="000000"/>
        </w:rPr>
        <w:t>,</w:t>
      </w:r>
      <w:r w:rsidR="00835C42">
        <w:rPr>
          <w:rFonts w:ascii="Bookman Old Style" w:hAnsi="Bookman Old Style" w:cs="Times New Roman"/>
          <w:color w:val="000000"/>
        </w:rPr>
        <w:t xml:space="preserve"> </w:t>
      </w:r>
      <w:r w:rsidRPr="00CE520A">
        <w:rPr>
          <w:rFonts w:ascii="Bookman Old Style" w:hAnsi="Bookman Old Style" w:cs="Times New Roman"/>
          <w:b/>
          <w:bCs/>
          <w:color w:val="000000"/>
        </w:rPr>
        <w:t xml:space="preserve">è differito al </w:t>
      </w:r>
      <w:r w:rsidRPr="00493B21">
        <w:rPr>
          <w:rFonts w:ascii="Bookman Old Style" w:hAnsi="Bookman Old Style" w:cs="Times New Roman"/>
          <w:b/>
          <w:bCs/>
          <w:color w:val="000000"/>
          <w:u w:val="single"/>
        </w:rPr>
        <w:t>31 luglio 2021</w:t>
      </w:r>
      <w:r w:rsidRPr="00CE520A">
        <w:rPr>
          <w:rFonts w:ascii="Bookman Old Style" w:hAnsi="Bookman Old Style" w:cs="Times New Roman"/>
          <w:color w:val="000000"/>
        </w:rPr>
        <w:t xml:space="preserve">: </w:t>
      </w:r>
    </w:p>
    <w:p w14:paraId="3278B399"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p>
    <w:p w14:paraId="5B8EC009" w14:textId="77777777" w:rsidR="00F05757" w:rsidRPr="00CE520A" w:rsidRDefault="00F05757" w:rsidP="00F05757">
      <w:pPr>
        <w:pStyle w:val="Paragrafoelenco"/>
        <w:numPr>
          <w:ilvl w:val="0"/>
          <w:numId w:val="3"/>
        </w:num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color w:val="000000"/>
        </w:rPr>
        <w:lastRenderedPageBreak/>
        <w:t xml:space="preserve">il </w:t>
      </w:r>
      <w:r w:rsidRPr="00CE520A">
        <w:rPr>
          <w:rFonts w:ascii="Bookman Old Style" w:hAnsi="Bookman Old Style" w:cs="Times New Roman"/>
          <w:b/>
          <w:bCs/>
          <w:color w:val="000000"/>
        </w:rPr>
        <w:t>termine per la deliberazione del rendiconto di gestione relativo all’esercizio 2020</w:t>
      </w:r>
      <w:r w:rsidRPr="00CE520A">
        <w:rPr>
          <w:rFonts w:ascii="Bookman Old Style" w:hAnsi="Bookman Old Style" w:cs="Times New Roman"/>
          <w:color w:val="000000"/>
        </w:rPr>
        <w:t xml:space="preserve"> di cui all’articolo 227, comma 2, del decreto legislativo 18 agosto 2000, n. 267;</w:t>
      </w:r>
    </w:p>
    <w:p w14:paraId="0E69EFBD"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p>
    <w:p w14:paraId="111EF0AB" w14:textId="68C4066F" w:rsidR="00F05757" w:rsidRDefault="00F05757" w:rsidP="00F05757">
      <w:pPr>
        <w:pStyle w:val="Paragrafoelenco"/>
        <w:numPr>
          <w:ilvl w:val="0"/>
          <w:numId w:val="4"/>
        </w:num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b/>
          <w:bCs/>
          <w:color w:val="000000"/>
        </w:rPr>
        <w:t xml:space="preserve">il termine per la deliberazione del bilancio di previsione 2021-2023 </w:t>
      </w:r>
      <w:r w:rsidRPr="00CE520A">
        <w:rPr>
          <w:rFonts w:ascii="Bookman Old Style" w:hAnsi="Bookman Old Style" w:cs="Times New Roman"/>
          <w:color w:val="000000"/>
        </w:rPr>
        <w:t xml:space="preserve">di cui all'articolo 151, comma 1, del decreto legislativo 18 agosto 2000, n. 267. Fino a tale data è autorizzato l’esercizio provvisorio di cui all’articolo 163 del citato decreto legislativo n. 267 del 2000. </w:t>
      </w:r>
    </w:p>
    <w:p w14:paraId="4337C6F0" w14:textId="77777777" w:rsidR="00BA2A39" w:rsidRDefault="00BA2A39" w:rsidP="00BA2A39">
      <w:pPr>
        <w:pStyle w:val="Paragrafoelenco"/>
        <w:autoSpaceDE w:val="0"/>
        <w:autoSpaceDN w:val="0"/>
        <w:adjustRightInd w:val="0"/>
        <w:spacing w:after="0" w:line="240" w:lineRule="auto"/>
        <w:jc w:val="both"/>
        <w:rPr>
          <w:rFonts w:ascii="Bookman Old Style" w:hAnsi="Bookman Old Style" w:cs="Times New Roman"/>
          <w:color w:val="000000"/>
        </w:rPr>
      </w:pPr>
    </w:p>
    <w:p w14:paraId="3C484955" w14:textId="3E872067" w:rsidR="00835C42" w:rsidRPr="00835C42" w:rsidRDefault="00835C42" w:rsidP="00835C42">
      <w:pPr>
        <w:autoSpaceDE w:val="0"/>
        <w:autoSpaceDN w:val="0"/>
        <w:adjustRightInd w:val="0"/>
        <w:spacing w:after="0" w:line="240" w:lineRule="auto"/>
        <w:jc w:val="both"/>
        <w:rPr>
          <w:rFonts w:ascii="Bookman Old Style" w:hAnsi="Bookman Old Style" w:cs="Times New Roman"/>
          <w:color w:val="000000"/>
        </w:rPr>
      </w:pPr>
      <w:r w:rsidRPr="00BA2A39">
        <w:rPr>
          <w:rFonts w:ascii="Bookman Old Style" w:hAnsi="Bookman Old Style" w:cs="Times New Roman"/>
          <w:b/>
          <w:bCs/>
          <w:color w:val="000000"/>
        </w:rPr>
        <w:t>La proroga dei termini, pertanto riguarda tutti gli enti locali che hanno acquisito anticipazioni</w:t>
      </w:r>
      <w:r>
        <w:rPr>
          <w:rFonts w:ascii="Bookman Old Style" w:hAnsi="Bookman Old Style" w:cs="Times New Roman"/>
          <w:color w:val="000000"/>
        </w:rPr>
        <w:t xml:space="preserve"> di liquidità di cui al dl 35/2013, non solo i possibili benefi</w:t>
      </w:r>
      <w:r w:rsidR="00BA2A39">
        <w:rPr>
          <w:rFonts w:ascii="Bookman Old Style" w:hAnsi="Bookman Old Style" w:cs="Times New Roman"/>
          <w:color w:val="000000"/>
        </w:rPr>
        <w:t>ci</w:t>
      </w:r>
      <w:r>
        <w:rPr>
          <w:rFonts w:ascii="Bookman Old Style" w:hAnsi="Bookman Old Style" w:cs="Times New Roman"/>
          <w:color w:val="000000"/>
        </w:rPr>
        <w:t>ari del fondo speciale.</w:t>
      </w:r>
    </w:p>
    <w:p w14:paraId="6B037CC7"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p>
    <w:p w14:paraId="7FD6C205"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color w:val="000000"/>
        </w:rPr>
        <w:t xml:space="preserve">Il </w:t>
      </w:r>
      <w:r w:rsidRPr="00CE520A">
        <w:rPr>
          <w:rFonts w:ascii="Bookman Old Style" w:hAnsi="Bookman Old Style" w:cs="Times New Roman"/>
          <w:b/>
          <w:bCs/>
          <w:color w:val="000000"/>
        </w:rPr>
        <w:t>contributo straordinario in favore dei comuni risultanti dalla fusione</w:t>
      </w:r>
      <w:r w:rsidRPr="00CE520A">
        <w:rPr>
          <w:rFonts w:ascii="Bookman Old Style" w:hAnsi="Bookman Old Style" w:cs="Times New Roman"/>
          <w:color w:val="000000"/>
        </w:rPr>
        <w:t xml:space="preserve"> è incrementato di </w:t>
      </w:r>
      <w:r w:rsidRPr="00CE520A">
        <w:rPr>
          <w:rFonts w:ascii="Bookman Old Style" w:hAnsi="Bookman Old Style" w:cs="Times New Roman"/>
          <w:b/>
          <w:bCs/>
          <w:color w:val="000000"/>
        </w:rPr>
        <w:t>6,5 milioni di euro a decorrere dall’anno 2021</w:t>
      </w:r>
      <w:r w:rsidRPr="00CE520A">
        <w:rPr>
          <w:rFonts w:ascii="Bookman Old Style" w:hAnsi="Bookman Old Style" w:cs="Times New Roman"/>
          <w:color w:val="000000"/>
        </w:rPr>
        <w:t xml:space="preserve">. </w:t>
      </w:r>
    </w:p>
    <w:p w14:paraId="6CDE3106" w14:textId="77777777" w:rsidR="00F05757" w:rsidRPr="00CE520A" w:rsidRDefault="00F05757" w:rsidP="00F05757">
      <w:pPr>
        <w:autoSpaceDE w:val="0"/>
        <w:autoSpaceDN w:val="0"/>
        <w:adjustRightInd w:val="0"/>
        <w:spacing w:after="0" w:line="240" w:lineRule="auto"/>
        <w:rPr>
          <w:rFonts w:ascii="Bookman Old Style" w:hAnsi="Bookman Old Style" w:cs="Times New Roman"/>
          <w:color w:val="000000"/>
        </w:rPr>
      </w:pPr>
    </w:p>
    <w:p w14:paraId="230BB316" w14:textId="77777777" w:rsidR="00F05757" w:rsidRPr="00CE520A" w:rsidRDefault="00F05757" w:rsidP="00F05757">
      <w:pPr>
        <w:autoSpaceDE w:val="0"/>
        <w:autoSpaceDN w:val="0"/>
        <w:adjustRightInd w:val="0"/>
        <w:spacing w:after="0" w:line="240" w:lineRule="auto"/>
        <w:rPr>
          <w:rFonts w:ascii="Bookman Old Style" w:hAnsi="Bookman Old Style" w:cs="Times New Roman"/>
        </w:rPr>
      </w:pPr>
    </w:p>
    <w:p w14:paraId="12E208DE" w14:textId="77777777" w:rsidR="00F05757" w:rsidRPr="00CE520A" w:rsidRDefault="00F05757" w:rsidP="00F05757">
      <w:pPr>
        <w:numPr>
          <w:ilvl w:val="0"/>
          <w:numId w:val="1"/>
        </w:numPr>
        <w:autoSpaceDE w:val="0"/>
        <w:autoSpaceDN w:val="0"/>
        <w:adjustRightInd w:val="0"/>
        <w:spacing w:after="0" w:line="240" w:lineRule="auto"/>
        <w:contextualSpacing/>
        <w:rPr>
          <w:rFonts w:ascii="Bookman Old Style" w:hAnsi="Bookman Old Style" w:cs="Times-BoldItalic"/>
          <w:b/>
          <w:bCs/>
          <w:i/>
          <w:iCs/>
          <w:color w:val="002060"/>
        </w:rPr>
      </w:pPr>
      <w:r w:rsidRPr="00CE520A">
        <w:rPr>
          <w:rFonts w:ascii="Bookman Old Style" w:hAnsi="Bookman Old Style" w:cs="Times-BoldItalic"/>
          <w:b/>
          <w:bCs/>
          <w:i/>
          <w:iCs/>
          <w:color w:val="002060"/>
        </w:rPr>
        <w:t xml:space="preserve">Misure urgenti di solidarietà alimentare e di sostegno alle famiglie per il pagamento dei canoni di locazione e delle utenze domestiche (Art. 53) </w:t>
      </w:r>
    </w:p>
    <w:p w14:paraId="047AF722" w14:textId="77777777" w:rsidR="00F05757" w:rsidRPr="00CE520A" w:rsidRDefault="00F05757" w:rsidP="00F05757">
      <w:pPr>
        <w:autoSpaceDE w:val="0"/>
        <w:autoSpaceDN w:val="0"/>
        <w:adjustRightInd w:val="0"/>
        <w:spacing w:after="0" w:line="240" w:lineRule="auto"/>
        <w:rPr>
          <w:rFonts w:ascii="Bookman Old Style" w:hAnsi="Bookman Old Style" w:cs="Times New Roman"/>
          <w:color w:val="002060"/>
        </w:rPr>
      </w:pPr>
    </w:p>
    <w:p w14:paraId="7C677597" w14:textId="77777777" w:rsidR="00F05757" w:rsidRPr="00CE520A" w:rsidRDefault="00F05757" w:rsidP="000E78FA">
      <w:pPr>
        <w:autoSpaceDE w:val="0"/>
        <w:autoSpaceDN w:val="0"/>
        <w:adjustRightInd w:val="0"/>
        <w:spacing w:after="0" w:line="240" w:lineRule="auto"/>
        <w:jc w:val="both"/>
        <w:rPr>
          <w:rFonts w:ascii="Bookman Old Style" w:hAnsi="Bookman Old Style" w:cs="Times-Roman"/>
          <w:color w:val="000000"/>
        </w:rPr>
      </w:pPr>
      <w:r w:rsidRPr="00CE520A">
        <w:rPr>
          <w:rFonts w:ascii="Bookman Old Style" w:hAnsi="Bookman Old Style" w:cs="Times-Roman"/>
        </w:rPr>
        <w:t xml:space="preserve">E’ istituito un fondo nello stato di previsione del Ministero dell'interno di </w:t>
      </w:r>
      <w:r w:rsidRPr="00CE520A">
        <w:rPr>
          <w:rFonts w:ascii="Bookman Old Style" w:hAnsi="Bookman Old Style" w:cs="Times-Roman"/>
          <w:b/>
          <w:bCs/>
          <w:u w:val="single"/>
        </w:rPr>
        <w:t>500 milioni di euro per l'anno 2021</w:t>
      </w:r>
      <w:r w:rsidRPr="00CE520A">
        <w:rPr>
          <w:rFonts w:ascii="Bookman Old Style" w:hAnsi="Bookman Old Style" w:cs="Times-Roman"/>
          <w:b/>
          <w:bCs/>
        </w:rPr>
        <w:t xml:space="preserve"> </w:t>
      </w:r>
      <w:r w:rsidRPr="00CE520A">
        <w:rPr>
          <w:rFonts w:ascii="Bookman Old Style" w:hAnsi="Bookman Old Style" w:cs="Times-Roman"/>
        </w:rPr>
        <w:t>p</w:t>
      </w:r>
      <w:r w:rsidRPr="00CE520A">
        <w:rPr>
          <w:rFonts w:ascii="Bookman Old Style" w:hAnsi="Bookman Old Style" w:cs="Times-Roman"/>
          <w:color w:val="19191A"/>
        </w:rPr>
        <w:t xml:space="preserve">er consentire ai comuni </w:t>
      </w:r>
      <w:r w:rsidRPr="00CE520A">
        <w:rPr>
          <w:rFonts w:ascii="Bookman Old Style" w:hAnsi="Bookman Old Style" w:cs="Times-Roman"/>
          <w:b/>
          <w:bCs/>
          <w:color w:val="19191A"/>
        </w:rPr>
        <w:t>l’adozione di misure urgenti di solidarietà alimentare</w:t>
      </w:r>
      <w:r w:rsidRPr="00CE520A">
        <w:rPr>
          <w:rFonts w:ascii="Bookman Old Style" w:hAnsi="Bookman Old Style" w:cs="Times-Roman"/>
          <w:color w:val="19191A"/>
        </w:rPr>
        <w:t xml:space="preserve">, </w:t>
      </w:r>
      <w:r w:rsidRPr="00CE520A">
        <w:rPr>
          <w:rFonts w:ascii="Bookman Old Style" w:hAnsi="Bookman Old Style" w:cs="Times-Roman"/>
          <w:color w:val="000000"/>
        </w:rPr>
        <w:t xml:space="preserve">nonché di sostegno al pagamento dei canoni di locazione e delle utenze domestiche. </w:t>
      </w:r>
    </w:p>
    <w:p w14:paraId="2817226F" w14:textId="77777777" w:rsidR="00F05757" w:rsidRPr="00CE520A" w:rsidRDefault="00F05757" w:rsidP="000E78FA">
      <w:pPr>
        <w:autoSpaceDE w:val="0"/>
        <w:autoSpaceDN w:val="0"/>
        <w:adjustRightInd w:val="0"/>
        <w:spacing w:after="0" w:line="240" w:lineRule="auto"/>
        <w:jc w:val="both"/>
        <w:rPr>
          <w:rFonts w:ascii="Bookman Old Style" w:hAnsi="Bookman Old Style" w:cs="Times-Roman"/>
          <w:color w:val="000000"/>
        </w:rPr>
      </w:pPr>
      <w:r w:rsidRPr="00CE520A">
        <w:rPr>
          <w:rFonts w:ascii="Bookman Old Style" w:hAnsi="Bookman Old Style" w:cs="Times-Roman"/>
          <w:color w:val="000000"/>
        </w:rPr>
        <w:t>Il riparto avviene</w:t>
      </w:r>
      <w:r w:rsidRPr="00CE520A">
        <w:rPr>
          <w:rFonts w:ascii="Bookman Old Style" w:hAnsi="Bookman Old Style" w:cs="Times-Roman"/>
        </w:rPr>
        <w:t xml:space="preserve"> entro 30 giorni dalla data di entrata in vigore del presente decreto, con decreto del Ministro dell’interno, di concerto con il Ministro </w:t>
      </w:r>
      <w:r w:rsidRPr="00CE520A">
        <w:rPr>
          <w:rFonts w:ascii="Bookman Old Style" w:hAnsi="Bookman Old Style" w:cs="Times-Roman"/>
          <w:color w:val="000000"/>
        </w:rPr>
        <w:t>dell’economia e delle finanze, previa intesa in Conferenza Stato-città ed autonomie locali secondo i seguenti criteri:</w:t>
      </w:r>
    </w:p>
    <w:p w14:paraId="1A90CA7A" w14:textId="77777777" w:rsidR="00F05757" w:rsidRPr="00CE520A" w:rsidRDefault="00F05757" w:rsidP="000E78FA">
      <w:pPr>
        <w:autoSpaceDE w:val="0"/>
        <w:autoSpaceDN w:val="0"/>
        <w:adjustRightInd w:val="0"/>
        <w:spacing w:after="0" w:line="240" w:lineRule="auto"/>
        <w:jc w:val="both"/>
        <w:rPr>
          <w:rFonts w:ascii="Bookman Old Style" w:hAnsi="Bookman Old Style" w:cs="Times-Roman"/>
          <w:color w:val="000000"/>
        </w:rPr>
      </w:pPr>
    </w:p>
    <w:p w14:paraId="08172EE9" w14:textId="5EF46C9E" w:rsidR="00F05757" w:rsidRPr="000E78FA" w:rsidRDefault="00F05757" w:rsidP="000E78FA">
      <w:pPr>
        <w:numPr>
          <w:ilvl w:val="0"/>
          <w:numId w:val="2"/>
        </w:numPr>
        <w:autoSpaceDE w:val="0"/>
        <w:autoSpaceDN w:val="0"/>
        <w:adjustRightInd w:val="0"/>
        <w:spacing w:after="0" w:line="240" w:lineRule="auto"/>
        <w:contextualSpacing/>
        <w:jc w:val="both"/>
        <w:rPr>
          <w:rFonts w:ascii="Bookman Old Style" w:hAnsi="Bookman Old Style" w:cs="Times-Roman"/>
          <w:color w:val="000000"/>
        </w:rPr>
      </w:pPr>
      <w:r w:rsidRPr="000E78FA">
        <w:rPr>
          <w:rFonts w:ascii="Bookman Old Style" w:hAnsi="Bookman Old Style" w:cs="Times-Roman"/>
          <w:color w:val="000000"/>
        </w:rPr>
        <w:t>50% del totale, per complessivi euro 250 milioni, è ripartita in proporzione alla</w:t>
      </w:r>
      <w:r w:rsidR="000E78FA">
        <w:rPr>
          <w:rFonts w:ascii="Bookman Old Style" w:hAnsi="Bookman Old Style" w:cs="Times-Roman"/>
          <w:color w:val="000000"/>
        </w:rPr>
        <w:t xml:space="preserve"> </w:t>
      </w:r>
      <w:r w:rsidRPr="000E78FA">
        <w:rPr>
          <w:rFonts w:ascii="Bookman Old Style" w:hAnsi="Bookman Old Style" w:cs="Times-Roman"/>
          <w:color w:val="000000"/>
        </w:rPr>
        <w:t>popolazione residente di ciascun comune;</w:t>
      </w:r>
    </w:p>
    <w:p w14:paraId="56FACF6C" w14:textId="229B6FFF" w:rsidR="00F05757" w:rsidRPr="000E78FA" w:rsidRDefault="00F05757" w:rsidP="000E78FA">
      <w:pPr>
        <w:numPr>
          <w:ilvl w:val="0"/>
          <w:numId w:val="2"/>
        </w:numPr>
        <w:autoSpaceDE w:val="0"/>
        <w:autoSpaceDN w:val="0"/>
        <w:adjustRightInd w:val="0"/>
        <w:spacing w:after="0" w:line="240" w:lineRule="auto"/>
        <w:contextualSpacing/>
        <w:jc w:val="both"/>
        <w:rPr>
          <w:rFonts w:ascii="Bookman Old Style" w:hAnsi="Bookman Old Style" w:cs="Times-Roman"/>
          <w:color w:val="000000"/>
        </w:rPr>
      </w:pPr>
      <w:r w:rsidRPr="000E78FA">
        <w:rPr>
          <w:rFonts w:ascii="Bookman Old Style" w:hAnsi="Bookman Old Style" w:cs="Times-Roman"/>
          <w:color w:val="000000"/>
        </w:rPr>
        <w:t>50%, per complessivi euro 250 milioni, è ripartita in base alla distanza tra il</w:t>
      </w:r>
      <w:r w:rsidR="000E78FA">
        <w:rPr>
          <w:rFonts w:ascii="Bookman Old Style" w:hAnsi="Bookman Old Style" w:cs="Times-Roman"/>
          <w:color w:val="000000"/>
        </w:rPr>
        <w:t xml:space="preserve"> </w:t>
      </w:r>
      <w:r w:rsidRPr="000E78FA">
        <w:rPr>
          <w:rFonts w:ascii="Bookman Old Style" w:hAnsi="Bookman Old Style" w:cs="Times-Roman"/>
          <w:color w:val="000000"/>
        </w:rPr>
        <w:t xml:space="preserve">valore del reddito pro capite di ciascun comune e il valore medio nazionale, ponderata per la rispettiva popolazione. </w:t>
      </w:r>
    </w:p>
    <w:p w14:paraId="6EF44C8E" w14:textId="77777777" w:rsidR="00F05757" w:rsidRPr="00CE520A" w:rsidRDefault="00F05757" w:rsidP="00F05757">
      <w:pPr>
        <w:autoSpaceDE w:val="0"/>
        <w:autoSpaceDN w:val="0"/>
        <w:adjustRightInd w:val="0"/>
        <w:spacing w:after="0" w:line="240" w:lineRule="auto"/>
        <w:jc w:val="both"/>
        <w:rPr>
          <w:rFonts w:ascii="Bookman Old Style" w:hAnsi="Bookman Old Style" w:cs="Times-Roman"/>
          <w:color w:val="000000"/>
        </w:rPr>
      </w:pPr>
    </w:p>
    <w:p w14:paraId="1146B368" w14:textId="77777777" w:rsidR="00AE6025" w:rsidRPr="00CE520A" w:rsidRDefault="00AE6025" w:rsidP="00F05757">
      <w:pPr>
        <w:autoSpaceDE w:val="0"/>
        <w:autoSpaceDN w:val="0"/>
        <w:adjustRightInd w:val="0"/>
        <w:spacing w:after="0" w:line="240" w:lineRule="auto"/>
        <w:jc w:val="both"/>
        <w:rPr>
          <w:rFonts w:ascii="Bookman Old Style" w:hAnsi="Bookman Old Style" w:cs="Times-Roman"/>
          <w:color w:val="000000"/>
        </w:rPr>
      </w:pPr>
    </w:p>
    <w:p w14:paraId="39A1BEE3" w14:textId="77777777" w:rsidR="00F05757" w:rsidRPr="00E70562" w:rsidRDefault="00F05757" w:rsidP="00F05757">
      <w:pPr>
        <w:numPr>
          <w:ilvl w:val="0"/>
          <w:numId w:val="1"/>
        </w:numPr>
        <w:autoSpaceDE w:val="0"/>
        <w:autoSpaceDN w:val="0"/>
        <w:adjustRightInd w:val="0"/>
        <w:spacing w:after="0" w:line="240" w:lineRule="auto"/>
        <w:contextualSpacing/>
        <w:jc w:val="both"/>
        <w:rPr>
          <w:rFonts w:ascii="Bookman Old Style" w:hAnsi="Bookman Old Style" w:cs="Times-BoldItalic"/>
          <w:b/>
          <w:bCs/>
          <w:i/>
          <w:iCs/>
          <w:color w:val="002060"/>
        </w:rPr>
      </w:pPr>
      <w:r w:rsidRPr="00E70562">
        <w:rPr>
          <w:rFonts w:ascii="Bookman Old Style" w:hAnsi="Bookman Old Style" w:cs="Times-BoldItalic"/>
          <w:b/>
          <w:bCs/>
          <w:i/>
          <w:iCs/>
          <w:color w:val="002060"/>
        </w:rPr>
        <w:t>Incremento contributo mancato incasso imposta di soggiorno (Art. 55)</w:t>
      </w:r>
    </w:p>
    <w:p w14:paraId="0D24EC53" w14:textId="77777777" w:rsidR="00F05757" w:rsidRPr="00CE520A" w:rsidRDefault="00F05757" w:rsidP="00F05757">
      <w:pPr>
        <w:autoSpaceDE w:val="0"/>
        <w:autoSpaceDN w:val="0"/>
        <w:adjustRightInd w:val="0"/>
        <w:spacing w:after="0" w:line="240" w:lineRule="auto"/>
        <w:jc w:val="both"/>
        <w:rPr>
          <w:rFonts w:ascii="Bookman Old Style" w:hAnsi="Bookman Old Style" w:cs="Times-Roman"/>
          <w:color w:val="000000"/>
        </w:rPr>
      </w:pPr>
    </w:p>
    <w:p w14:paraId="5C8AE82B" w14:textId="661EFFDD" w:rsidR="00F05757" w:rsidRPr="00CE520A" w:rsidRDefault="00F05757" w:rsidP="00F05757">
      <w:pPr>
        <w:autoSpaceDE w:val="0"/>
        <w:autoSpaceDN w:val="0"/>
        <w:adjustRightInd w:val="0"/>
        <w:spacing w:after="0" w:line="240" w:lineRule="auto"/>
        <w:jc w:val="both"/>
        <w:rPr>
          <w:rFonts w:ascii="Bookman Old Style" w:hAnsi="Bookman Old Style" w:cs="Times-Roman"/>
          <w:color w:val="19191A"/>
        </w:rPr>
      </w:pPr>
      <w:r w:rsidRPr="00CE520A">
        <w:rPr>
          <w:rFonts w:ascii="Bookman Old Style" w:hAnsi="Bookman Old Style" w:cs="Times-Roman"/>
          <w:color w:val="19191A"/>
        </w:rPr>
        <w:t xml:space="preserve">Viene incrementato </w:t>
      </w:r>
      <w:r w:rsidRPr="00CE520A">
        <w:rPr>
          <w:rFonts w:ascii="Bookman Old Style" w:hAnsi="Bookman Old Style" w:cs="Times-Roman"/>
          <w:b/>
          <w:bCs/>
          <w:color w:val="19191A"/>
        </w:rPr>
        <w:t>di 100 milioni di euro (</w:t>
      </w:r>
      <w:r w:rsidR="00984E77">
        <w:rPr>
          <w:rFonts w:ascii="Bookman Old Style" w:hAnsi="Bookman Old Style" w:cs="Times-Roman"/>
          <w:b/>
          <w:bCs/>
          <w:color w:val="19191A"/>
        </w:rPr>
        <w:t>da</w:t>
      </w:r>
      <w:r w:rsidRPr="00CE520A">
        <w:rPr>
          <w:rFonts w:ascii="Bookman Old Style" w:hAnsi="Bookman Old Style" w:cs="Times-Roman"/>
          <w:b/>
          <w:bCs/>
          <w:color w:val="19191A"/>
        </w:rPr>
        <w:t xml:space="preserve"> 250 a</w:t>
      </w:r>
      <w:r w:rsidRPr="00CE520A">
        <w:rPr>
          <w:rFonts w:ascii="Bookman Old Style" w:hAnsi="Bookman Old Style" w:cs="Times-Roman"/>
          <w:color w:val="19191A"/>
        </w:rPr>
        <w:t xml:space="preserve"> </w:t>
      </w:r>
      <w:r w:rsidRPr="00CE520A">
        <w:rPr>
          <w:rFonts w:ascii="Bookman Old Style" w:hAnsi="Bookman Old Style" w:cs="Times-Roman"/>
          <w:b/>
          <w:bCs/>
          <w:color w:val="19191A"/>
        </w:rPr>
        <w:t>350 milioni di euro</w:t>
      </w:r>
      <w:r w:rsidRPr="00CE520A">
        <w:rPr>
          <w:rFonts w:ascii="Bookman Old Style" w:hAnsi="Bookman Old Style" w:cs="Times-Roman"/>
          <w:color w:val="19191A"/>
        </w:rPr>
        <w:t xml:space="preserve">) il fondo previsto dall’art. 25 del </w:t>
      </w:r>
      <w:proofErr w:type="spellStart"/>
      <w:r w:rsidRPr="00CE520A">
        <w:rPr>
          <w:rFonts w:ascii="Bookman Old Style" w:hAnsi="Bookman Old Style" w:cs="Times-Roman"/>
          <w:color w:val="19191A"/>
        </w:rPr>
        <w:t>d.l.</w:t>
      </w:r>
      <w:proofErr w:type="spellEnd"/>
      <w:r w:rsidRPr="00CE520A">
        <w:rPr>
          <w:rFonts w:ascii="Bookman Old Style" w:hAnsi="Bookman Old Style" w:cs="Times-Roman"/>
          <w:color w:val="19191A"/>
        </w:rPr>
        <w:t xml:space="preserve"> 41/2021 “</w:t>
      </w:r>
      <w:r w:rsidR="00BA2A39">
        <w:rPr>
          <w:rFonts w:ascii="Bookman Old Style" w:hAnsi="Bookman Old Style" w:cs="Times-Roman"/>
          <w:i/>
          <w:iCs/>
          <w:color w:val="19191A"/>
        </w:rPr>
        <w:t>S</w:t>
      </w:r>
      <w:r w:rsidRPr="00CE520A">
        <w:rPr>
          <w:rFonts w:ascii="Bookman Old Style" w:hAnsi="Bookman Old Style" w:cs="Times-Roman"/>
          <w:i/>
          <w:iCs/>
          <w:color w:val="19191A"/>
        </w:rPr>
        <w:t>ostegni</w:t>
      </w:r>
      <w:r w:rsidRPr="00CE520A">
        <w:rPr>
          <w:rFonts w:ascii="Bookman Old Style" w:hAnsi="Bookman Old Style" w:cs="Times-Roman"/>
          <w:color w:val="19191A"/>
        </w:rPr>
        <w:t>” per ristorare parzialmente i Comuni delle minori entrate derivanti dalla mancata riscossione dell'imposta di soggiorno, del contributo di sbarco e del contributo di soggiorno conseguenti all’adozione delle misure di contenimento del COVID-19.</w:t>
      </w:r>
    </w:p>
    <w:p w14:paraId="57F9A66A"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color w:val="000000"/>
        </w:rPr>
        <w:t>Alla ripartizione del Fondo tra gli enti interessati si provvede con uno o più decreti del Ministro dell’interno di concerto con il MEF, previa intesa in sede di Conferenza Stato-città ed autonomie locali, da adottare entro il 31 ottobre 2021.</w:t>
      </w:r>
    </w:p>
    <w:p w14:paraId="67B81A3B" w14:textId="77777777" w:rsidR="00AE6025" w:rsidRPr="00CE520A" w:rsidRDefault="00AE6025" w:rsidP="00AE6025">
      <w:pPr>
        <w:autoSpaceDE w:val="0"/>
        <w:autoSpaceDN w:val="0"/>
        <w:adjustRightInd w:val="0"/>
        <w:spacing w:after="0" w:line="240" w:lineRule="auto"/>
        <w:ind w:left="720"/>
        <w:contextualSpacing/>
        <w:jc w:val="both"/>
        <w:rPr>
          <w:rFonts w:ascii="Bookman Old Style" w:hAnsi="Bookman Old Style" w:cs="Times-BoldItalic"/>
          <w:b/>
          <w:bCs/>
          <w:i/>
          <w:iCs/>
          <w:color w:val="0070C0"/>
        </w:rPr>
      </w:pPr>
    </w:p>
    <w:p w14:paraId="20F6565F" w14:textId="255C2D04" w:rsidR="00BA2A39" w:rsidRDefault="00BA2A39" w:rsidP="00BA2A39">
      <w:pPr>
        <w:keepNext/>
        <w:autoSpaceDE w:val="0"/>
        <w:autoSpaceDN w:val="0"/>
        <w:adjustRightInd w:val="0"/>
        <w:spacing w:after="0" w:line="240" w:lineRule="auto"/>
        <w:contextualSpacing/>
        <w:jc w:val="both"/>
        <w:rPr>
          <w:rFonts w:ascii="Bookman Old Style" w:hAnsi="Bookman Old Style" w:cs="Times-BoldItalic"/>
          <w:b/>
          <w:bCs/>
          <w:i/>
          <w:iCs/>
          <w:color w:val="002060"/>
        </w:rPr>
      </w:pPr>
    </w:p>
    <w:p w14:paraId="16A777FB" w14:textId="31176148" w:rsidR="00BA2A39" w:rsidRPr="00E70562" w:rsidRDefault="00BA2A39" w:rsidP="00BA2A39">
      <w:pPr>
        <w:keepNext/>
        <w:numPr>
          <w:ilvl w:val="0"/>
          <w:numId w:val="1"/>
        </w:numPr>
        <w:autoSpaceDE w:val="0"/>
        <w:autoSpaceDN w:val="0"/>
        <w:adjustRightInd w:val="0"/>
        <w:spacing w:after="0" w:line="240" w:lineRule="auto"/>
        <w:ind w:left="714" w:hanging="357"/>
        <w:contextualSpacing/>
        <w:jc w:val="both"/>
        <w:rPr>
          <w:rFonts w:ascii="Bookman Old Style" w:hAnsi="Bookman Old Style" w:cs="Times-BoldItalic"/>
          <w:b/>
          <w:bCs/>
          <w:i/>
          <w:iCs/>
          <w:color w:val="002060"/>
        </w:rPr>
      </w:pPr>
      <w:r>
        <w:rPr>
          <w:rFonts w:ascii="Bookman Old Style" w:hAnsi="Bookman Old Style" w:cs="Times-BoldItalic"/>
          <w:b/>
          <w:bCs/>
          <w:i/>
          <w:iCs/>
          <w:color w:val="002060"/>
        </w:rPr>
        <w:t>Utilizzo nell’anno 2021 dei ristori 2020 (</w:t>
      </w:r>
      <w:r w:rsidRPr="00E70562">
        <w:rPr>
          <w:rFonts w:ascii="Bookman Old Style" w:hAnsi="Bookman Old Style" w:cs="Times-BoldItalic"/>
          <w:b/>
          <w:bCs/>
          <w:i/>
          <w:iCs/>
          <w:color w:val="002060"/>
        </w:rPr>
        <w:t>Art. 5</w:t>
      </w:r>
      <w:r>
        <w:rPr>
          <w:rFonts w:ascii="Bookman Old Style" w:hAnsi="Bookman Old Style" w:cs="Times-BoldItalic"/>
          <w:b/>
          <w:bCs/>
          <w:i/>
          <w:iCs/>
          <w:color w:val="002060"/>
        </w:rPr>
        <w:t>6</w:t>
      </w:r>
      <w:r w:rsidRPr="00E70562">
        <w:rPr>
          <w:rFonts w:ascii="Bookman Old Style" w:hAnsi="Bookman Old Style" w:cs="Times-BoldItalic"/>
          <w:b/>
          <w:bCs/>
          <w:i/>
          <w:iCs/>
          <w:color w:val="002060"/>
        </w:rPr>
        <w:t>, comm</w:t>
      </w:r>
      <w:r>
        <w:rPr>
          <w:rFonts w:ascii="Bookman Old Style" w:hAnsi="Bookman Old Style" w:cs="Times-BoldItalic"/>
          <w:b/>
          <w:bCs/>
          <w:i/>
          <w:iCs/>
          <w:color w:val="002060"/>
        </w:rPr>
        <w:t>a</w:t>
      </w:r>
      <w:r w:rsidRPr="00E70562">
        <w:rPr>
          <w:rFonts w:ascii="Bookman Old Style" w:hAnsi="Bookman Old Style" w:cs="Times-BoldItalic"/>
          <w:b/>
          <w:bCs/>
          <w:i/>
          <w:iCs/>
          <w:color w:val="002060"/>
        </w:rPr>
        <w:t xml:space="preserve"> </w:t>
      </w:r>
      <w:r>
        <w:rPr>
          <w:rFonts w:ascii="Bookman Old Style" w:hAnsi="Bookman Old Style" w:cs="Times-BoldItalic"/>
          <w:b/>
          <w:bCs/>
          <w:i/>
          <w:iCs/>
          <w:color w:val="002060"/>
        </w:rPr>
        <w:t>1)</w:t>
      </w:r>
    </w:p>
    <w:p w14:paraId="57453FA5" w14:textId="77777777" w:rsidR="00BA2A39" w:rsidRDefault="00BA2A39" w:rsidP="00BA2A39">
      <w:pPr>
        <w:autoSpaceDE w:val="0"/>
        <w:autoSpaceDN w:val="0"/>
        <w:adjustRightInd w:val="0"/>
        <w:spacing w:after="0" w:line="240" w:lineRule="auto"/>
        <w:rPr>
          <w:rFonts w:ascii="TimesNewRomanPSMT" w:hAnsi="TimesNewRomanPSMT" w:cs="TimesNewRomanPSMT"/>
          <w:sz w:val="21"/>
          <w:szCs w:val="21"/>
        </w:rPr>
      </w:pPr>
    </w:p>
    <w:p w14:paraId="21976C73" w14:textId="534DE985" w:rsidR="00BA2A39" w:rsidRPr="008B406C" w:rsidRDefault="00BA2A39" w:rsidP="008B406C">
      <w:pPr>
        <w:autoSpaceDE w:val="0"/>
        <w:autoSpaceDN w:val="0"/>
        <w:adjustRightInd w:val="0"/>
        <w:spacing w:after="0" w:line="240" w:lineRule="auto"/>
        <w:jc w:val="both"/>
        <w:rPr>
          <w:rFonts w:ascii="Bookman Old Style" w:hAnsi="Bookman Old Style" w:cs="TimesNewRomanPSMT"/>
        </w:rPr>
      </w:pPr>
      <w:r w:rsidRPr="008B406C">
        <w:rPr>
          <w:rFonts w:ascii="Bookman Old Style" w:hAnsi="Bookman Old Style" w:cs="TimesNewRomanPSMT"/>
        </w:rPr>
        <w:t xml:space="preserve">Viene </w:t>
      </w:r>
      <w:r w:rsidRPr="008B406C">
        <w:rPr>
          <w:rFonts w:ascii="Bookman Old Style" w:hAnsi="Bookman Old Style" w:cs="TimesNewRomanPSMT"/>
          <w:b/>
          <w:bCs/>
        </w:rPr>
        <w:t>estesa</w:t>
      </w:r>
      <w:r w:rsidRPr="008B406C">
        <w:rPr>
          <w:rFonts w:ascii="Bookman Old Style" w:hAnsi="Bookman Old Style" w:cs="TimesNewRomanPSMT"/>
        </w:rPr>
        <w:t xml:space="preserve"> </w:t>
      </w:r>
      <w:r w:rsidRPr="008B406C">
        <w:rPr>
          <w:rFonts w:ascii="Bookman Old Style" w:hAnsi="Bookman Old Style" w:cs="TimesNewRomanPSMT"/>
          <w:b/>
          <w:bCs/>
        </w:rPr>
        <w:t xml:space="preserve">alle risorse assegnate </w:t>
      </w:r>
      <w:r w:rsidR="008B406C">
        <w:rPr>
          <w:rFonts w:ascii="Bookman Old Style" w:hAnsi="Bookman Old Style" w:cs="TimesNewRomanPSMT"/>
          <w:b/>
          <w:bCs/>
        </w:rPr>
        <w:t xml:space="preserve">agli enti locali </w:t>
      </w:r>
      <w:r w:rsidRPr="008B406C">
        <w:rPr>
          <w:rFonts w:ascii="Bookman Old Style" w:hAnsi="Bookman Old Style" w:cs="TimesNewRomanPSMT"/>
          <w:b/>
          <w:bCs/>
        </w:rPr>
        <w:t>“</w:t>
      </w:r>
      <w:r w:rsidRPr="008B406C">
        <w:rPr>
          <w:rFonts w:ascii="Bookman Old Style" w:hAnsi="Bookman Old Style" w:cs="TimesNewRomanPSMT"/>
          <w:b/>
          <w:bCs/>
          <w:i/>
          <w:iCs/>
        </w:rPr>
        <w:t>a titolo di ristori specifici</w:t>
      </w:r>
      <w:r w:rsidRPr="008B406C">
        <w:rPr>
          <w:rFonts w:ascii="Bookman Old Style" w:hAnsi="Bookman Old Style" w:cs="TimesNewRomanPSMT"/>
          <w:i/>
          <w:iCs/>
        </w:rPr>
        <w:t xml:space="preserve"> di spesa che rientrano</w:t>
      </w:r>
      <w:r w:rsidR="008B406C">
        <w:rPr>
          <w:rFonts w:ascii="Bookman Old Style" w:hAnsi="Bookman Old Style" w:cs="TimesNewRomanPSMT"/>
          <w:i/>
          <w:iCs/>
        </w:rPr>
        <w:t xml:space="preserve"> </w:t>
      </w:r>
      <w:r w:rsidRPr="008B406C">
        <w:rPr>
          <w:rFonts w:ascii="Bookman Old Style" w:hAnsi="Bookman Old Style" w:cs="TimesNewRomanPSMT"/>
          <w:i/>
          <w:iCs/>
        </w:rPr>
        <w:t>nelle certificazioni</w:t>
      </w:r>
      <w:r w:rsidRPr="008B406C">
        <w:rPr>
          <w:rFonts w:ascii="Bookman Old Style" w:hAnsi="Bookman Old Style" w:cs="TimesNewRomanPSMT"/>
        </w:rPr>
        <w:t xml:space="preserve">” 2020 e 2021 </w:t>
      </w:r>
      <w:r w:rsidR="008B406C" w:rsidRPr="008B406C">
        <w:rPr>
          <w:rFonts w:ascii="Bookman Old Style" w:hAnsi="Bookman Old Style" w:cs="TimesNewRomanPSMT"/>
          <w:b/>
          <w:bCs/>
        </w:rPr>
        <w:t xml:space="preserve">la </w:t>
      </w:r>
      <w:r w:rsidRPr="008B406C">
        <w:rPr>
          <w:rFonts w:ascii="Bookman Old Style" w:hAnsi="Bookman Old Style" w:cs="TimesNewRomanPSMT"/>
          <w:b/>
          <w:bCs/>
        </w:rPr>
        <w:t xml:space="preserve">possibilità di utilizzo </w:t>
      </w:r>
      <w:r w:rsidR="008B406C" w:rsidRPr="008B406C">
        <w:rPr>
          <w:rFonts w:ascii="Bookman Old Style" w:hAnsi="Bookman Old Style" w:cs="TimesNewRomanPSMT"/>
          <w:b/>
          <w:bCs/>
        </w:rPr>
        <w:t>anche per l’anno 2021</w:t>
      </w:r>
      <w:r w:rsidR="008B406C" w:rsidRPr="008B406C">
        <w:rPr>
          <w:rFonts w:ascii="Bookman Old Style" w:hAnsi="Bookman Old Style" w:cs="TimesNewRomanPSMT"/>
        </w:rPr>
        <w:t xml:space="preserve">, fermi restando i vincoli di utilizzo originariamente previsti dalle norme di assegnazione. Tale possibilità era finora assicurata (co. 823, </w:t>
      </w:r>
      <w:proofErr w:type="spellStart"/>
      <w:proofErr w:type="gramStart"/>
      <w:r w:rsidR="008B406C" w:rsidRPr="008B406C">
        <w:rPr>
          <w:rFonts w:ascii="Bookman Old Style" w:hAnsi="Bookman Old Style" w:cs="TimesNewRomanPSMT"/>
        </w:rPr>
        <w:t>L.Bilancio</w:t>
      </w:r>
      <w:proofErr w:type="spellEnd"/>
      <w:proofErr w:type="gramEnd"/>
      <w:r w:rsidR="008B406C" w:rsidRPr="008B406C">
        <w:rPr>
          <w:rFonts w:ascii="Bookman Old Style" w:hAnsi="Bookman Old Style" w:cs="TimesNewRomanPSMT"/>
        </w:rPr>
        <w:t xml:space="preserve"> 2020) limitatamente alle risorse emergenziali assegnate nel 2020 con il cd. “</w:t>
      </w:r>
      <w:proofErr w:type="spellStart"/>
      <w:r w:rsidR="008B406C" w:rsidRPr="008B406C">
        <w:rPr>
          <w:rFonts w:ascii="Bookman Old Style" w:hAnsi="Bookman Old Style" w:cs="TimesNewRomanPSMT"/>
        </w:rPr>
        <w:t>Fondone</w:t>
      </w:r>
      <w:proofErr w:type="spellEnd"/>
      <w:r w:rsidR="008B406C" w:rsidRPr="008B406C">
        <w:rPr>
          <w:rFonts w:ascii="Bookman Old Style" w:hAnsi="Bookman Old Style" w:cs="TimesNewRomanPSMT"/>
        </w:rPr>
        <w:t>”.</w:t>
      </w:r>
    </w:p>
    <w:p w14:paraId="773CEE71" w14:textId="0F024A77" w:rsidR="00BA2A39" w:rsidRDefault="00BA2A39" w:rsidP="00BA2A39">
      <w:pPr>
        <w:keepNext/>
        <w:autoSpaceDE w:val="0"/>
        <w:autoSpaceDN w:val="0"/>
        <w:adjustRightInd w:val="0"/>
        <w:spacing w:after="0" w:line="240" w:lineRule="auto"/>
        <w:contextualSpacing/>
        <w:jc w:val="both"/>
        <w:rPr>
          <w:rFonts w:ascii="Bookman Old Style" w:hAnsi="Bookman Old Style" w:cs="Times-BoldItalic"/>
          <w:b/>
          <w:bCs/>
          <w:i/>
          <w:iCs/>
          <w:color w:val="002060"/>
        </w:rPr>
      </w:pPr>
    </w:p>
    <w:p w14:paraId="65EF793E" w14:textId="77777777" w:rsidR="008B406C" w:rsidRDefault="008B406C" w:rsidP="00BA2A39">
      <w:pPr>
        <w:keepNext/>
        <w:autoSpaceDE w:val="0"/>
        <w:autoSpaceDN w:val="0"/>
        <w:adjustRightInd w:val="0"/>
        <w:spacing w:after="0" w:line="240" w:lineRule="auto"/>
        <w:contextualSpacing/>
        <w:jc w:val="both"/>
        <w:rPr>
          <w:rFonts w:ascii="Bookman Old Style" w:hAnsi="Bookman Old Style" w:cs="Times-BoldItalic"/>
          <w:b/>
          <w:bCs/>
          <w:i/>
          <w:iCs/>
          <w:color w:val="002060"/>
        </w:rPr>
      </w:pPr>
    </w:p>
    <w:p w14:paraId="1CD33927" w14:textId="205611D2" w:rsidR="00AE6025" w:rsidRPr="00E70562" w:rsidRDefault="00AE6025" w:rsidP="00BA2A39">
      <w:pPr>
        <w:keepNext/>
        <w:numPr>
          <w:ilvl w:val="0"/>
          <w:numId w:val="1"/>
        </w:numPr>
        <w:autoSpaceDE w:val="0"/>
        <w:autoSpaceDN w:val="0"/>
        <w:adjustRightInd w:val="0"/>
        <w:spacing w:after="0" w:line="240" w:lineRule="auto"/>
        <w:ind w:left="714" w:hanging="357"/>
        <w:contextualSpacing/>
        <w:jc w:val="both"/>
        <w:rPr>
          <w:rFonts w:ascii="Bookman Old Style" w:hAnsi="Bookman Old Style" w:cs="Times-BoldItalic"/>
          <w:b/>
          <w:bCs/>
          <w:i/>
          <w:iCs/>
          <w:color w:val="002060"/>
        </w:rPr>
      </w:pPr>
      <w:r w:rsidRPr="00E70562">
        <w:rPr>
          <w:rFonts w:ascii="Bookman Old Style" w:hAnsi="Bookman Old Style" w:cs="Times-BoldItalic"/>
          <w:b/>
          <w:bCs/>
          <w:i/>
          <w:iCs/>
          <w:color w:val="002060"/>
        </w:rPr>
        <w:t>Misure urgenti per la scuola (Art. 58, commi 3 e 5)</w:t>
      </w:r>
    </w:p>
    <w:p w14:paraId="6E446056" w14:textId="77777777" w:rsidR="00AE6025" w:rsidRPr="0042566A" w:rsidRDefault="00AE6025" w:rsidP="00AE6025">
      <w:pPr>
        <w:autoSpaceDE w:val="0"/>
        <w:autoSpaceDN w:val="0"/>
        <w:adjustRightInd w:val="0"/>
        <w:spacing w:after="0" w:line="240" w:lineRule="auto"/>
        <w:jc w:val="both"/>
        <w:rPr>
          <w:rFonts w:ascii="Bookman Old Style" w:hAnsi="Bookman Old Style" w:cs="Times-BoldItalic"/>
          <w:b/>
          <w:bCs/>
          <w:i/>
          <w:iCs/>
          <w:color w:val="0070C0"/>
        </w:rPr>
      </w:pPr>
    </w:p>
    <w:p w14:paraId="5030B4E8" w14:textId="77777777" w:rsidR="00AE6025" w:rsidRPr="0042566A" w:rsidRDefault="00AE6025" w:rsidP="00AE6025">
      <w:pPr>
        <w:jc w:val="both"/>
        <w:rPr>
          <w:rFonts w:ascii="Bookman Old Style" w:hAnsi="Bookman Old Style"/>
        </w:rPr>
      </w:pPr>
      <w:r w:rsidRPr="0042566A">
        <w:rPr>
          <w:rFonts w:ascii="Bookman Old Style" w:hAnsi="Bookman Old Style"/>
        </w:rPr>
        <w:lastRenderedPageBreak/>
        <w:t xml:space="preserve">Vengono stanziati </w:t>
      </w:r>
      <w:r w:rsidRPr="0042566A">
        <w:rPr>
          <w:rFonts w:ascii="Bookman Old Style" w:hAnsi="Bookman Old Style"/>
          <w:b/>
          <w:bCs/>
        </w:rPr>
        <w:t xml:space="preserve">ulteriori 70 milioni </w:t>
      </w:r>
      <w:r w:rsidRPr="0042566A">
        <w:rPr>
          <w:rFonts w:ascii="Bookman Old Style" w:hAnsi="Bookman Old Style"/>
        </w:rPr>
        <w:t xml:space="preserve">per misure di edilizia scolastica: affitti, noleggi, leasing di strutture temporanee, di ulteriori spazi da destinare all'attività didattica nell'anno scolastico 2021/2022, nonché delle spese derivanti dalla conduzione di tali spazi (art. 32, comma 2, lettera a), del </w:t>
      </w:r>
      <w:proofErr w:type="spellStart"/>
      <w:r w:rsidRPr="0042566A">
        <w:rPr>
          <w:rFonts w:ascii="Bookman Old Style" w:hAnsi="Bookman Old Style"/>
        </w:rPr>
        <w:t>d.l.</w:t>
      </w:r>
      <w:proofErr w:type="spellEnd"/>
      <w:r w:rsidRPr="0042566A">
        <w:rPr>
          <w:rFonts w:ascii="Bookman Old Style" w:hAnsi="Bookman Old Style"/>
        </w:rPr>
        <w:t xml:space="preserve"> 104/2020).</w:t>
      </w:r>
    </w:p>
    <w:p w14:paraId="7799173F" w14:textId="71877B52" w:rsidR="00AE6025" w:rsidRPr="00CE520A" w:rsidRDefault="00AE6025" w:rsidP="00AE6025">
      <w:pPr>
        <w:autoSpaceDE w:val="0"/>
        <w:autoSpaceDN w:val="0"/>
        <w:adjustRightInd w:val="0"/>
        <w:spacing w:after="0" w:line="240" w:lineRule="auto"/>
        <w:jc w:val="both"/>
        <w:rPr>
          <w:rFonts w:ascii="Bookman Old Style" w:hAnsi="Bookman Old Style" w:cs="Times New Roman"/>
          <w:color w:val="000000"/>
        </w:rPr>
      </w:pPr>
      <w:r w:rsidRPr="0042566A">
        <w:rPr>
          <w:rFonts w:ascii="Bookman Old Style" w:hAnsi="Bookman Old Style" w:cs="Times New Roman"/>
          <w:color w:val="000000"/>
        </w:rPr>
        <w:t xml:space="preserve">Viene altresì erogato un </w:t>
      </w:r>
      <w:r w:rsidRPr="0042566A">
        <w:rPr>
          <w:rFonts w:ascii="Bookman Old Style" w:hAnsi="Bookman Old Style" w:cs="Times New Roman"/>
          <w:b/>
          <w:bCs/>
          <w:color w:val="000000"/>
        </w:rPr>
        <w:t>contributo complessivo di 50 milioni di euro nell'anno 2021</w:t>
      </w:r>
      <w:r w:rsidRPr="0042566A">
        <w:rPr>
          <w:rFonts w:ascii="Bookman Old Style" w:hAnsi="Bookman Old Style" w:cs="Times New Roman"/>
          <w:color w:val="000000"/>
        </w:rPr>
        <w:t xml:space="preserve"> per acquisto di beni e servizi per contenere rischio Covid-19 per l’avvio dell’anno scolastico 2021/2022 in favore delle istituzioni scolastiche paritarie primarie e secondarie</w:t>
      </w:r>
      <w:r w:rsidR="00BA2A39">
        <w:rPr>
          <w:rFonts w:ascii="Bookman Old Style" w:hAnsi="Bookman Old Style" w:cs="Times New Roman"/>
          <w:color w:val="000000"/>
        </w:rPr>
        <w:t>,</w:t>
      </w:r>
      <w:r w:rsidRPr="0042566A">
        <w:rPr>
          <w:rFonts w:ascii="Bookman Old Style" w:hAnsi="Bookman Old Style" w:cs="Times New Roman"/>
          <w:color w:val="000000"/>
        </w:rPr>
        <w:t xml:space="preserve"> in proporzione al numero di alunni iscritti nell’anno scolastico 2020/2021, compresi i servizi educativi autorizzati.</w:t>
      </w:r>
    </w:p>
    <w:p w14:paraId="1F7226D2" w14:textId="77777777" w:rsidR="00F05757" w:rsidRPr="00CE520A" w:rsidRDefault="00F05757" w:rsidP="00F05757">
      <w:pPr>
        <w:autoSpaceDE w:val="0"/>
        <w:autoSpaceDN w:val="0"/>
        <w:adjustRightInd w:val="0"/>
        <w:spacing w:after="0" w:line="240" w:lineRule="auto"/>
        <w:jc w:val="both"/>
        <w:rPr>
          <w:rFonts w:ascii="Bookman Old Style" w:hAnsi="Bookman Old Style" w:cs="Times-Roman"/>
          <w:color w:val="19191A"/>
        </w:rPr>
      </w:pPr>
    </w:p>
    <w:p w14:paraId="794818DB" w14:textId="77777777" w:rsidR="00F05757" w:rsidRPr="00CE520A" w:rsidRDefault="00F05757" w:rsidP="00F05757">
      <w:pPr>
        <w:autoSpaceDE w:val="0"/>
        <w:autoSpaceDN w:val="0"/>
        <w:adjustRightInd w:val="0"/>
        <w:spacing w:after="0" w:line="240" w:lineRule="auto"/>
        <w:jc w:val="both"/>
        <w:rPr>
          <w:rFonts w:ascii="Bookman Old Style" w:hAnsi="Bookman Old Style" w:cs="Times-Roman"/>
          <w:color w:val="000000"/>
        </w:rPr>
      </w:pPr>
    </w:p>
    <w:p w14:paraId="5DEE9034" w14:textId="563A66DE" w:rsidR="00F05757" w:rsidRPr="00E70562" w:rsidRDefault="00F05757" w:rsidP="00F05757">
      <w:pPr>
        <w:numPr>
          <w:ilvl w:val="0"/>
          <w:numId w:val="1"/>
        </w:numPr>
        <w:autoSpaceDE w:val="0"/>
        <w:autoSpaceDN w:val="0"/>
        <w:adjustRightInd w:val="0"/>
        <w:spacing w:after="0" w:line="240" w:lineRule="auto"/>
        <w:contextualSpacing/>
        <w:jc w:val="both"/>
        <w:rPr>
          <w:rFonts w:ascii="Bookman Old Style" w:hAnsi="Bookman Old Style" w:cs="Times-BoldItalic"/>
          <w:b/>
          <w:bCs/>
          <w:i/>
          <w:iCs/>
          <w:color w:val="002060"/>
        </w:rPr>
      </w:pPr>
      <w:r w:rsidRPr="00E70562">
        <w:rPr>
          <w:rFonts w:ascii="Bookman Old Style" w:hAnsi="Bookman Old Style" w:cs="Times-BoldItalic"/>
          <w:b/>
          <w:bCs/>
          <w:i/>
          <w:iCs/>
          <w:color w:val="002060"/>
        </w:rPr>
        <w:t>Misure per favorire le opportunità e per il contrasto alla povertà educativa (Art. 6</w:t>
      </w:r>
      <w:r w:rsidR="0023210A" w:rsidRPr="00E70562">
        <w:rPr>
          <w:rFonts w:ascii="Bookman Old Style" w:hAnsi="Bookman Old Style" w:cs="Times-BoldItalic"/>
          <w:b/>
          <w:bCs/>
          <w:i/>
          <w:iCs/>
          <w:color w:val="002060"/>
        </w:rPr>
        <w:t>3</w:t>
      </w:r>
      <w:r w:rsidRPr="00E70562">
        <w:rPr>
          <w:rFonts w:ascii="Bookman Old Style" w:hAnsi="Bookman Old Style" w:cs="Times-BoldItalic"/>
          <w:b/>
          <w:bCs/>
          <w:i/>
          <w:iCs/>
          <w:color w:val="002060"/>
        </w:rPr>
        <w:t>)</w:t>
      </w:r>
    </w:p>
    <w:p w14:paraId="241F0477" w14:textId="77777777" w:rsidR="00F05757" w:rsidRPr="00CE520A" w:rsidRDefault="00F05757" w:rsidP="00F05757">
      <w:pPr>
        <w:autoSpaceDE w:val="0"/>
        <w:autoSpaceDN w:val="0"/>
        <w:adjustRightInd w:val="0"/>
        <w:spacing w:after="0" w:line="240" w:lineRule="auto"/>
        <w:rPr>
          <w:rFonts w:ascii="Bookman Old Style" w:hAnsi="Bookman Old Style" w:cs="Times New Roman"/>
          <w:color w:val="000000"/>
        </w:rPr>
      </w:pPr>
    </w:p>
    <w:p w14:paraId="54FB2072" w14:textId="6DFA8211"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b/>
          <w:bCs/>
          <w:color w:val="000000"/>
        </w:rPr>
        <w:t>Viene incrementato di 135 milioni di euro</w:t>
      </w:r>
      <w:r w:rsidRPr="00CE520A">
        <w:rPr>
          <w:rFonts w:ascii="Bookman Old Style" w:hAnsi="Bookman Old Style" w:cs="Times New Roman"/>
          <w:color w:val="000000"/>
        </w:rPr>
        <w:t xml:space="preserve"> il Fondo per le politiche della famiglia, di cui all’articolo 19, comma 1, del decreto-legge 4 luglio 2006, n. 223, </w:t>
      </w:r>
      <w:r w:rsidRPr="00CE520A">
        <w:rPr>
          <w:rFonts w:ascii="Bookman Old Style" w:hAnsi="Bookman Old Style" w:cs="Times New Roman"/>
          <w:b/>
          <w:bCs/>
          <w:color w:val="000000"/>
        </w:rPr>
        <w:t>per il</w:t>
      </w:r>
      <w:r w:rsidRPr="00CE520A">
        <w:rPr>
          <w:rFonts w:ascii="Bookman Old Style" w:hAnsi="Bookman Old Style" w:cs="Times New Roman"/>
          <w:color w:val="000000"/>
        </w:rPr>
        <w:t xml:space="preserve"> </w:t>
      </w:r>
      <w:r w:rsidRPr="00CE520A">
        <w:rPr>
          <w:rFonts w:ascii="Bookman Old Style" w:hAnsi="Bookman Old Style" w:cs="Times New Roman"/>
          <w:b/>
          <w:bCs/>
          <w:color w:val="000000"/>
        </w:rPr>
        <w:t>finanziamento delle iniziative dei comuni, da attuare nel periodo 1 giugno - 31 dicembre 2021</w:t>
      </w:r>
      <w:r w:rsidRPr="00CE520A">
        <w:rPr>
          <w:rFonts w:ascii="Bookman Old Style" w:hAnsi="Bookman Old Style" w:cs="Times New Roman"/>
          <w:color w:val="000000"/>
        </w:rPr>
        <w:t xml:space="preserve">, anche in collaborazione con enti pubblici e privati, di potenziamento dei centri estivi, dei servizi socioeducativi territoriali e dei centri con funzione educativa e ricreativa destinati alle attività dei minori. </w:t>
      </w:r>
    </w:p>
    <w:p w14:paraId="41189FBD" w14:textId="77777777" w:rsidR="00F05757" w:rsidRPr="00CE520A" w:rsidRDefault="00F05757" w:rsidP="00F05757">
      <w:pPr>
        <w:autoSpaceDE w:val="0"/>
        <w:autoSpaceDN w:val="0"/>
        <w:adjustRightInd w:val="0"/>
        <w:spacing w:after="0" w:line="240" w:lineRule="auto"/>
        <w:jc w:val="both"/>
        <w:rPr>
          <w:rFonts w:ascii="Bookman Old Style" w:hAnsi="Bookman Old Style" w:cs="Times New Roman"/>
          <w:color w:val="000000"/>
        </w:rPr>
      </w:pPr>
      <w:r w:rsidRPr="00CE520A">
        <w:rPr>
          <w:rFonts w:ascii="Bookman Old Style" w:hAnsi="Bookman Old Style" w:cs="Times New Roman"/>
          <w:color w:val="000000"/>
        </w:rPr>
        <w:t xml:space="preserve">I criteri di riparto delle risorse ai Comuni sono stabiliti con decreto del Ministro per le pari opportunità e la famiglia, previa intesa in sede di Conferenza unificata </w:t>
      </w:r>
    </w:p>
    <w:p w14:paraId="68B4E5D5" w14:textId="77777777" w:rsidR="00F05757" w:rsidRPr="00CE520A" w:rsidRDefault="00F05757" w:rsidP="00F05757">
      <w:pPr>
        <w:autoSpaceDE w:val="0"/>
        <w:autoSpaceDN w:val="0"/>
        <w:adjustRightInd w:val="0"/>
        <w:spacing w:after="0" w:line="240" w:lineRule="auto"/>
        <w:jc w:val="both"/>
        <w:rPr>
          <w:rFonts w:ascii="Bookman Old Style" w:hAnsi="Bookman Old Style" w:cs="Times-Roman"/>
          <w:color w:val="000000"/>
        </w:rPr>
      </w:pPr>
      <w:r w:rsidRPr="00CE520A">
        <w:rPr>
          <w:rFonts w:ascii="Bookman Old Style" w:hAnsi="Bookman Old Style" w:cs="Times New Roman"/>
          <w:color w:val="000000"/>
        </w:rPr>
        <w:t xml:space="preserve">Alla erogazione delle risorse ai Comuni provvede la Presidenza del Consiglio dei ministri - Dipartimento per le politiche della famiglia, tramite ricorso ad anticipazione di tesoreria disposta dal Ministero dell’economia e delle finanze, regolarizzata con l’emissione degli ordini di pagamento sui pertinenti capitoli di spesa entro la conclusione dell’esercizio 2021. </w:t>
      </w:r>
    </w:p>
    <w:p w14:paraId="7EE203DA" w14:textId="77777777" w:rsidR="00F05757" w:rsidRPr="00CE520A" w:rsidRDefault="00F05757" w:rsidP="00F05757">
      <w:pPr>
        <w:autoSpaceDE w:val="0"/>
        <w:autoSpaceDN w:val="0"/>
        <w:adjustRightInd w:val="0"/>
        <w:spacing w:after="0" w:line="240" w:lineRule="auto"/>
        <w:jc w:val="both"/>
        <w:rPr>
          <w:rFonts w:ascii="Bookman Old Style" w:hAnsi="Bookman Old Style" w:cs="Times-Roman"/>
          <w:color w:val="000000"/>
        </w:rPr>
      </w:pPr>
    </w:p>
    <w:p w14:paraId="72A564C8" w14:textId="77777777" w:rsidR="0027323B" w:rsidRPr="00CE520A" w:rsidRDefault="0027323B" w:rsidP="0027323B">
      <w:pPr>
        <w:autoSpaceDE w:val="0"/>
        <w:autoSpaceDN w:val="0"/>
        <w:adjustRightInd w:val="0"/>
        <w:spacing w:after="0" w:line="240" w:lineRule="auto"/>
        <w:ind w:left="720"/>
        <w:contextualSpacing/>
        <w:jc w:val="both"/>
        <w:rPr>
          <w:rFonts w:ascii="Bookman Old Style" w:hAnsi="Bookman Old Style" w:cs="Times-BoldItalic"/>
          <w:b/>
          <w:bCs/>
          <w:i/>
          <w:iCs/>
          <w:color w:val="0070C0"/>
        </w:rPr>
      </w:pPr>
    </w:p>
    <w:p w14:paraId="4E1834F5" w14:textId="5EE73D83" w:rsidR="0027323B" w:rsidRPr="00E70562" w:rsidRDefault="0027323B" w:rsidP="0027323B">
      <w:pPr>
        <w:numPr>
          <w:ilvl w:val="0"/>
          <w:numId w:val="1"/>
        </w:numPr>
        <w:autoSpaceDE w:val="0"/>
        <w:autoSpaceDN w:val="0"/>
        <w:adjustRightInd w:val="0"/>
        <w:spacing w:after="0" w:line="240" w:lineRule="auto"/>
        <w:contextualSpacing/>
        <w:jc w:val="both"/>
        <w:rPr>
          <w:rFonts w:ascii="Bookman Old Style" w:hAnsi="Bookman Old Style" w:cs="Times-BoldItalic"/>
          <w:b/>
          <w:bCs/>
          <w:i/>
          <w:iCs/>
          <w:color w:val="002060"/>
        </w:rPr>
      </w:pPr>
      <w:r w:rsidRPr="00E70562">
        <w:rPr>
          <w:rFonts w:ascii="Bookman Old Style" w:hAnsi="Bookman Old Style" w:cs="Times-BoldItalic"/>
          <w:b/>
          <w:bCs/>
          <w:i/>
          <w:iCs/>
          <w:color w:val="002060"/>
        </w:rPr>
        <w:t>Fondo politiche giovanili (Art. 6</w:t>
      </w:r>
      <w:r w:rsidR="00E059EB" w:rsidRPr="00E70562">
        <w:rPr>
          <w:rFonts w:ascii="Bookman Old Style" w:hAnsi="Bookman Old Style" w:cs="Times-BoldItalic"/>
          <w:b/>
          <w:bCs/>
          <w:i/>
          <w:iCs/>
          <w:color w:val="002060"/>
        </w:rPr>
        <w:t>4</w:t>
      </w:r>
      <w:r w:rsidRPr="00E70562">
        <w:rPr>
          <w:rFonts w:ascii="Bookman Old Style" w:hAnsi="Bookman Old Style" w:cs="Times-BoldItalic"/>
          <w:b/>
          <w:bCs/>
          <w:i/>
          <w:iCs/>
          <w:color w:val="002060"/>
        </w:rPr>
        <w:t>, comm</w:t>
      </w:r>
      <w:r w:rsidR="00E059EB" w:rsidRPr="00E70562">
        <w:rPr>
          <w:rFonts w:ascii="Bookman Old Style" w:hAnsi="Bookman Old Style" w:cs="Times-BoldItalic"/>
          <w:b/>
          <w:bCs/>
          <w:i/>
          <w:iCs/>
          <w:color w:val="002060"/>
        </w:rPr>
        <w:t>a</w:t>
      </w:r>
      <w:r w:rsidRPr="00E70562">
        <w:rPr>
          <w:rFonts w:ascii="Bookman Old Style" w:hAnsi="Bookman Old Style" w:cs="Times-BoldItalic"/>
          <w:b/>
          <w:bCs/>
          <w:i/>
          <w:iCs/>
          <w:color w:val="002060"/>
        </w:rPr>
        <w:t xml:space="preserve"> 12)</w:t>
      </w:r>
    </w:p>
    <w:p w14:paraId="11B46EDA" w14:textId="77777777" w:rsidR="0027323B" w:rsidRPr="001508D8" w:rsidRDefault="0027323B" w:rsidP="0027323B">
      <w:pPr>
        <w:autoSpaceDE w:val="0"/>
        <w:autoSpaceDN w:val="0"/>
        <w:adjustRightInd w:val="0"/>
        <w:spacing w:after="0" w:line="240" w:lineRule="auto"/>
        <w:jc w:val="both"/>
        <w:rPr>
          <w:rFonts w:ascii="Bookman Old Style" w:hAnsi="Bookman Old Style" w:cs="Times-Roman"/>
          <w:color w:val="000000"/>
        </w:rPr>
      </w:pPr>
    </w:p>
    <w:p w14:paraId="520D5E7C" w14:textId="77777777" w:rsidR="0027323B" w:rsidRPr="001508D8" w:rsidRDefault="0027323B" w:rsidP="0027323B">
      <w:pPr>
        <w:autoSpaceDE w:val="0"/>
        <w:autoSpaceDN w:val="0"/>
        <w:adjustRightInd w:val="0"/>
        <w:spacing w:after="0" w:line="240" w:lineRule="auto"/>
        <w:jc w:val="both"/>
        <w:rPr>
          <w:rFonts w:ascii="Bookman Old Style" w:hAnsi="Bookman Old Style" w:cs="Times New Roman"/>
          <w:color w:val="000000"/>
        </w:rPr>
      </w:pPr>
      <w:r w:rsidRPr="001508D8">
        <w:rPr>
          <w:rFonts w:ascii="Bookman Old Style" w:hAnsi="Bookman Old Style" w:cs="Times New Roman"/>
          <w:b/>
          <w:bCs/>
          <w:color w:val="000000"/>
        </w:rPr>
        <w:t>Il Fondo per le politiche giovanili è incrementato di</w:t>
      </w:r>
      <w:r w:rsidRPr="001508D8">
        <w:rPr>
          <w:rFonts w:ascii="Bookman Old Style" w:hAnsi="Bookman Old Style" w:cs="Times New Roman"/>
          <w:color w:val="000000"/>
        </w:rPr>
        <w:t xml:space="preserve"> </w:t>
      </w:r>
      <w:r w:rsidRPr="001508D8">
        <w:rPr>
          <w:rFonts w:ascii="Bookman Old Style" w:hAnsi="Bookman Old Style" w:cs="Times New Roman"/>
          <w:b/>
          <w:bCs/>
          <w:color w:val="000000"/>
        </w:rPr>
        <w:t>30 milioni di euro per l’anno 2021</w:t>
      </w:r>
      <w:r w:rsidRPr="001508D8">
        <w:rPr>
          <w:rFonts w:ascii="Bookman Old Style" w:hAnsi="Bookman Old Style" w:cs="Times New Roman"/>
          <w:color w:val="000000"/>
        </w:rPr>
        <w:t xml:space="preserve"> per finanziare politiche di prevenzione e contrasto ai fenomeni di disagio giovanile e comportamenti a rischio, compresi quelli dovuti all’uso non consapevole delle piattaforme digitali, anche attraverso attività di assistenza e supporto psicologico, azioni volte a favorire l’inclusione e l’innovazione sociale nonché lo sviluppo individuale, la promozione di attività sportive per i giovani di età inferiore ai 35 anni. </w:t>
      </w:r>
    </w:p>
    <w:p w14:paraId="65EEAB36" w14:textId="77777777" w:rsidR="0027323B" w:rsidRPr="00CE520A" w:rsidRDefault="0027323B" w:rsidP="0027323B">
      <w:pPr>
        <w:autoSpaceDE w:val="0"/>
        <w:autoSpaceDN w:val="0"/>
        <w:adjustRightInd w:val="0"/>
        <w:spacing w:after="0" w:line="240" w:lineRule="auto"/>
        <w:jc w:val="both"/>
        <w:rPr>
          <w:rFonts w:ascii="Bookman Old Style" w:hAnsi="Bookman Old Style" w:cs="Times-Roman"/>
          <w:color w:val="000000"/>
        </w:rPr>
      </w:pPr>
      <w:r w:rsidRPr="001508D8">
        <w:rPr>
          <w:rFonts w:ascii="Bookman Old Style" w:hAnsi="Bookman Old Style" w:cs="Times New Roman"/>
          <w:color w:val="000000"/>
        </w:rPr>
        <w:t>I criteri di riparto e le modalità di attuazione degli interventi realizzati dalle Regioni e dalle Province autonome di Trento e Bolzano e dal sistema delle Autonomie locali sono definiti con decreto del Ministro per le politiche giovanili, d’intesa con la Conferenza unificata.</w:t>
      </w:r>
    </w:p>
    <w:p w14:paraId="102B339A" w14:textId="77777777" w:rsidR="0027323B" w:rsidRPr="00CE520A" w:rsidRDefault="0027323B" w:rsidP="0027323B">
      <w:pPr>
        <w:autoSpaceDE w:val="0"/>
        <w:autoSpaceDN w:val="0"/>
        <w:adjustRightInd w:val="0"/>
        <w:spacing w:after="0" w:line="240" w:lineRule="auto"/>
        <w:ind w:left="720"/>
        <w:contextualSpacing/>
        <w:jc w:val="both"/>
        <w:rPr>
          <w:rFonts w:ascii="Bookman Old Style" w:hAnsi="Bookman Old Style" w:cs="Times-BoldItalic"/>
          <w:b/>
          <w:bCs/>
          <w:i/>
          <w:iCs/>
          <w:color w:val="0070C0"/>
        </w:rPr>
      </w:pPr>
    </w:p>
    <w:p w14:paraId="3FBABC7B" w14:textId="602EA39D" w:rsidR="00F05757" w:rsidRPr="00CE520A" w:rsidRDefault="00F05757" w:rsidP="00F05757">
      <w:pPr>
        <w:autoSpaceDE w:val="0"/>
        <w:autoSpaceDN w:val="0"/>
        <w:adjustRightInd w:val="0"/>
        <w:spacing w:after="0" w:line="240" w:lineRule="auto"/>
        <w:ind w:left="720"/>
        <w:contextualSpacing/>
        <w:jc w:val="both"/>
        <w:rPr>
          <w:rFonts w:ascii="Bookman Old Style" w:hAnsi="Bookman Old Style" w:cs="Times-BoldItalic"/>
          <w:b/>
          <w:bCs/>
          <w:i/>
          <w:iCs/>
          <w:color w:val="0070C0"/>
        </w:rPr>
      </w:pPr>
    </w:p>
    <w:p w14:paraId="413A3F91" w14:textId="77777777" w:rsidR="0027323B" w:rsidRPr="00CE520A" w:rsidRDefault="0027323B" w:rsidP="00F05757">
      <w:pPr>
        <w:autoSpaceDE w:val="0"/>
        <w:autoSpaceDN w:val="0"/>
        <w:adjustRightInd w:val="0"/>
        <w:spacing w:after="0" w:line="240" w:lineRule="auto"/>
        <w:ind w:left="720"/>
        <w:contextualSpacing/>
        <w:jc w:val="both"/>
        <w:rPr>
          <w:rFonts w:ascii="Bookman Old Style" w:hAnsi="Bookman Old Style" w:cs="Times-BoldItalic"/>
          <w:b/>
          <w:bCs/>
          <w:i/>
          <w:iCs/>
          <w:color w:val="0070C0"/>
        </w:rPr>
      </w:pPr>
    </w:p>
    <w:p w14:paraId="79DD7EF1" w14:textId="1F080B44" w:rsidR="00F05757" w:rsidRPr="00E70562" w:rsidRDefault="00F05757" w:rsidP="00F05757">
      <w:pPr>
        <w:numPr>
          <w:ilvl w:val="0"/>
          <w:numId w:val="1"/>
        </w:numPr>
        <w:autoSpaceDE w:val="0"/>
        <w:autoSpaceDN w:val="0"/>
        <w:adjustRightInd w:val="0"/>
        <w:spacing w:after="0" w:line="240" w:lineRule="auto"/>
        <w:contextualSpacing/>
        <w:jc w:val="both"/>
        <w:rPr>
          <w:rFonts w:ascii="Bookman Old Style" w:hAnsi="Bookman Old Style" w:cs="Times-BoldItalic"/>
          <w:b/>
          <w:bCs/>
          <w:i/>
          <w:iCs/>
          <w:color w:val="002060"/>
        </w:rPr>
      </w:pPr>
      <w:r w:rsidRPr="00E70562">
        <w:rPr>
          <w:rFonts w:ascii="Bookman Old Style" w:hAnsi="Bookman Old Style" w:cs="Times-BoldItalic"/>
          <w:b/>
          <w:bCs/>
          <w:i/>
          <w:iCs/>
          <w:color w:val="002060"/>
        </w:rPr>
        <w:t>Fondo unico per l’edilizia scolastica (A</w:t>
      </w:r>
      <w:r w:rsidR="00E70562">
        <w:rPr>
          <w:rFonts w:ascii="Bookman Old Style" w:hAnsi="Bookman Old Style" w:cs="Times-BoldItalic"/>
          <w:b/>
          <w:bCs/>
          <w:i/>
          <w:iCs/>
          <w:color w:val="002060"/>
        </w:rPr>
        <w:t>r</w:t>
      </w:r>
      <w:r w:rsidR="0089038F">
        <w:rPr>
          <w:rFonts w:ascii="Bookman Old Style" w:hAnsi="Bookman Old Style" w:cs="Times-BoldItalic"/>
          <w:b/>
          <w:bCs/>
          <w:i/>
          <w:iCs/>
          <w:color w:val="002060"/>
        </w:rPr>
        <w:t xml:space="preserve">t. </w:t>
      </w:r>
      <w:r w:rsidRPr="00E70562">
        <w:rPr>
          <w:rFonts w:ascii="Bookman Old Style" w:hAnsi="Bookman Old Style" w:cs="Times-BoldItalic"/>
          <w:b/>
          <w:bCs/>
          <w:i/>
          <w:iCs/>
          <w:color w:val="002060"/>
        </w:rPr>
        <w:t>7</w:t>
      </w:r>
      <w:r w:rsidR="00B86D77" w:rsidRPr="00E70562">
        <w:rPr>
          <w:rFonts w:ascii="Bookman Old Style" w:hAnsi="Bookman Old Style" w:cs="Times-BoldItalic"/>
          <w:b/>
          <w:bCs/>
          <w:i/>
          <w:iCs/>
          <w:color w:val="002060"/>
        </w:rPr>
        <w:t>7</w:t>
      </w:r>
      <w:r w:rsidRPr="00E70562">
        <w:rPr>
          <w:rFonts w:ascii="Bookman Old Style" w:hAnsi="Bookman Old Style" w:cs="Times-BoldItalic"/>
          <w:b/>
          <w:bCs/>
          <w:i/>
          <w:iCs/>
          <w:color w:val="002060"/>
        </w:rPr>
        <w:t xml:space="preserve">, comma </w:t>
      </w:r>
      <w:r w:rsidR="00B86D77" w:rsidRPr="00E70562">
        <w:rPr>
          <w:rFonts w:ascii="Bookman Old Style" w:hAnsi="Bookman Old Style" w:cs="Times-BoldItalic"/>
          <w:b/>
          <w:bCs/>
          <w:i/>
          <w:iCs/>
          <w:color w:val="002060"/>
        </w:rPr>
        <w:t>4</w:t>
      </w:r>
      <w:r w:rsidRPr="00E70562">
        <w:rPr>
          <w:rFonts w:ascii="Bookman Old Style" w:hAnsi="Bookman Old Style" w:cs="Times-BoldItalic"/>
          <w:b/>
          <w:bCs/>
          <w:i/>
          <w:iCs/>
          <w:color w:val="002060"/>
        </w:rPr>
        <w:t>)</w:t>
      </w:r>
    </w:p>
    <w:p w14:paraId="415BCF99" w14:textId="77777777" w:rsidR="00F05757" w:rsidRPr="00CE520A" w:rsidRDefault="00F05757" w:rsidP="00F05757">
      <w:pPr>
        <w:autoSpaceDE w:val="0"/>
        <w:autoSpaceDN w:val="0"/>
        <w:adjustRightInd w:val="0"/>
        <w:spacing w:after="0" w:line="240" w:lineRule="auto"/>
        <w:jc w:val="both"/>
        <w:rPr>
          <w:rFonts w:ascii="Bookman Old Style" w:hAnsi="Bookman Old Style"/>
        </w:rPr>
      </w:pPr>
    </w:p>
    <w:p w14:paraId="7A37F7B8" w14:textId="697F88D8" w:rsidR="00F05757" w:rsidRPr="00CE520A" w:rsidRDefault="00F05757" w:rsidP="00F05757">
      <w:pPr>
        <w:autoSpaceDE w:val="0"/>
        <w:autoSpaceDN w:val="0"/>
        <w:adjustRightInd w:val="0"/>
        <w:spacing w:after="0" w:line="240" w:lineRule="auto"/>
        <w:jc w:val="both"/>
        <w:rPr>
          <w:rFonts w:ascii="Bookman Old Style" w:hAnsi="Bookman Old Style" w:cs="Times-Roman"/>
          <w:b/>
          <w:bCs/>
          <w:color w:val="000000"/>
        </w:rPr>
      </w:pPr>
      <w:r w:rsidRPr="00CE520A">
        <w:rPr>
          <w:rFonts w:ascii="Bookman Old Style" w:hAnsi="Bookman Old Style"/>
        </w:rPr>
        <w:t xml:space="preserve">Il Fondo unico per l’edilizia scolastica è incrementato di </w:t>
      </w:r>
      <w:r w:rsidR="002E0F84">
        <w:rPr>
          <w:rFonts w:ascii="Bookman Old Style" w:hAnsi="Bookman Old Style"/>
          <w:b/>
          <w:bCs/>
        </w:rPr>
        <w:t>150</w:t>
      </w:r>
      <w:r w:rsidRPr="00CE520A">
        <w:rPr>
          <w:rFonts w:ascii="Bookman Old Style" w:hAnsi="Bookman Old Style"/>
          <w:b/>
          <w:bCs/>
        </w:rPr>
        <w:t xml:space="preserve"> milioni di euro l’anno 2021.</w:t>
      </w:r>
    </w:p>
    <w:p w14:paraId="76A64055" w14:textId="77777777" w:rsidR="00F05757" w:rsidRPr="00CE520A" w:rsidRDefault="00F05757">
      <w:pPr>
        <w:rPr>
          <w:rFonts w:ascii="Bookman Old Style" w:hAnsi="Bookman Old Style"/>
        </w:rPr>
      </w:pPr>
    </w:p>
    <w:sectPr w:rsidR="00F05757" w:rsidRPr="00CE520A" w:rsidSect="008B406C">
      <w:footerReference w:type="default" r:id="rId8"/>
      <w:pgSz w:w="11906" w:h="16838"/>
      <w:pgMar w:top="993"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0D97" w14:textId="77777777" w:rsidR="00185789" w:rsidRDefault="00185789" w:rsidP="008B406C">
      <w:pPr>
        <w:spacing w:after="0" w:line="240" w:lineRule="auto"/>
      </w:pPr>
      <w:r>
        <w:separator/>
      </w:r>
    </w:p>
  </w:endnote>
  <w:endnote w:type="continuationSeparator" w:id="0">
    <w:p w14:paraId="15324EF9" w14:textId="77777777" w:rsidR="00185789" w:rsidRDefault="00185789" w:rsidP="008B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notTrueType/>
    <w:pitch w:val="default"/>
    <w:sig w:usb0="00000003" w:usb1="00000000" w:usb2="00000000" w:usb3="00000000" w:csb0="00000001" w:csb1="00000000"/>
  </w:font>
  <w:font w:name="TimesNewRomanPS-BoldMT">
    <w:altName w:val="Times New Roman"/>
    <w:charset w:val="00"/>
    <w:family w:val="roman"/>
    <w:notTrueType/>
    <w:pitch w:val="default"/>
    <w:sig w:usb0="00000003" w:usb1="00000000" w:usb2="00000000" w:usb3="00000000" w:csb0="00000001" w:csb1="00000000"/>
  </w:font>
  <w:font w:name="Times-BoldItalic">
    <w:altName w:val="Times New Roman"/>
    <w:charset w:val="00"/>
    <w:family w:val="auto"/>
    <w:notTrueType/>
    <w:pitch w:val="default"/>
    <w:sig w:usb0="00000003" w:usb1="00000000" w:usb2="00000000" w:usb3="00000000" w:csb0="00000001" w:csb1="00000000"/>
  </w:font>
  <w:font w:name="Times-Roman">
    <w:altName w:val="Times New Roman"/>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00639"/>
      <w:docPartObj>
        <w:docPartGallery w:val="Page Numbers (Bottom of Page)"/>
        <w:docPartUnique/>
      </w:docPartObj>
    </w:sdtPr>
    <w:sdtEndPr/>
    <w:sdtContent>
      <w:p w14:paraId="680B0DD0" w14:textId="112F2F4C" w:rsidR="008B406C" w:rsidRDefault="008B406C">
        <w:pPr>
          <w:pStyle w:val="Pidipagina"/>
          <w:jc w:val="right"/>
        </w:pPr>
        <w:r w:rsidRPr="008B406C">
          <w:rPr>
            <w:rFonts w:ascii="Bookman Old Style" w:hAnsi="Bookman Old Style"/>
            <w:sz w:val="18"/>
            <w:szCs w:val="18"/>
          </w:rPr>
          <w:fldChar w:fldCharType="begin"/>
        </w:r>
        <w:r w:rsidRPr="008B406C">
          <w:rPr>
            <w:rFonts w:ascii="Bookman Old Style" w:hAnsi="Bookman Old Style"/>
            <w:sz w:val="18"/>
            <w:szCs w:val="18"/>
          </w:rPr>
          <w:instrText>PAGE   \* MERGEFORMAT</w:instrText>
        </w:r>
        <w:r w:rsidRPr="008B406C">
          <w:rPr>
            <w:rFonts w:ascii="Bookman Old Style" w:hAnsi="Bookman Old Style"/>
            <w:sz w:val="18"/>
            <w:szCs w:val="18"/>
          </w:rPr>
          <w:fldChar w:fldCharType="separate"/>
        </w:r>
        <w:r w:rsidRPr="008B406C">
          <w:rPr>
            <w:rFonts w:ascii="Bookman Old Style" w:hAnsi="Bookman Old Style"/>
            <w:sz w:val="18"/>
            <w:szCs w:val="18"/>
          </w:rPr>
          <w:t>2</w:t>
        </w:r>
        <w:r w:rsidRPr="008B406C">
          <w:rPr>
            <w:rFonts w:ascii="Bookman Old Style" w:hAnsi="Bookman Old Style"/>
            <w:sz w:val="18"/>
            <w:szCs w:val="18"/>
          </w:rPr>
          <w:fldChar w:fldCharType="end"/>
        </w:r>
      </w:p>
    </w:sdtContent>
  </w:sdt>
  <w:p w14:paraId="74C53163" w14:textId="77777777" w:rsidR="008B406C" w:rsidRDefault="008B40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5E07" w14:textId="77777777" w:rsidR="00185789" w:rsidRDefault="00185789" w:rsidP="008B406C">
      <w:pPr>
        <w:spacing w:after="0" w:line="240" w:lineRule="auto"/>
      </w:pPr>
      <w:r>
        <w:separator/>
      </w:r>
    </w:p>
  </w:footnote>
  <w:footnote w:type="continuationSeparator" w:id="0">
    <w:p w14:paraId="759F7078" w14:textId="77777777" w:rsidR="00185789" w:rsidRDefault="00185789" w:rsidP="008B4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424C"/>
    <w:multiLevelType w:val="hybridMultilevel"/>
    <w:tmpl w:val="39CE0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C11D03"/>
    <w:multiLevelType w:val="hybridMultilevel"/>
    <w:tmpl w:val="25C8D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EF30DB"/>
    <w:multiLevelType w:val="hybridMultilevel"/>
    <w:tmpl w:val="1700D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FD3ACC"/>
    <w:multiLevelType w:val="hybridMultilevel"/>
    <w:tmpl w:val="2D988F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removePersonalInformation/>
  <w:removeDateAndTim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57"/>
    <w:rsid w:val="000825EC"/>
    <w:rsid w:val="000E78FA"/>
    <w:rsid w:val="001508D8"/>
    <w:rsid w:val="00185789"/>
    <w:rsid w:val="0023210A"/>
    <w:rsid w:val="00235C5C"/>
    <w:rsid w:val="0027323B"/>
    <w:rsid w:val="002A5D20"/>
    <w:rsid w:val="002E0F84"/>
    <w:rsid w:val="002E1E54"/>
    <w:rsid w:val="00421470"/>
    <w:rsid w:val="0042566A"/>
    <w:rsid w:val="00487B1B"/>
    <w:rsid w:val="00493B21"/>
    <w:rsid w:val="004D445E"/>
    <w:rsid w:val="00506D49"/>
    <w:rsid w:val="0057774C"/>
    <w:rsid w:val="00600B18"/>
    <w:rsid w:val="00614483"/>
    <w:rsid w:val="007F41F7"/>
    <w:rsid w:val="00835C42"/>
    <w:rsid w:val="0089038F"/>
    <w:rsid w:val="008B406C"/>
    <w:rsid w:val="00984E77"/>
    <w:rsid w:val="00A1750B"/>
    <w:rsid w:val="00AC2D08"/>
    <w:rsid w:val="00AE6025"/>
    <w:rsid w:val="00B86D77"/>
    <w:rsid w:val="00B9742E"/>
    <w:rsid w:val="00BA2A39"/>
    <w:rsid w:val="00BF2A27"/>
    <w:rsid w:val="00CE520A"/>
    <w:rsid w:val="00D27D5E"/>
    <w:rsid w:val="00D64110"/>
    <w:rsid w:val="00D92716"/>
    <w:rsid w:val="00D92D33"/>
    <w:rsid w:val="00E059EB"/>
    <w:rsid w:val="00E70562"/>
    <w:rsid w:val="00F010C3"/>
    <w:rsid w:val="00F05757"/>
    <w:rsid w:val="00F43002"/>
    <w:rsid w:val="00FB6230"/>
    <w:rsid w:val="00FF6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95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7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5757"/>
    <w:pPr>
      <w:ind w:left="720"/>
      <w:contextualSpacing/>
    </w:pPr>
  </w:style>
  <w:style w:type="paragraph" w:styleId="Intestazione">
    <w:name w:val="header"/>
    <w:basedOn w:val="Normale"/>
    <w:link w:val="IntestazioneCarattere"/>
    <w:uiPriority w:val="99"/>
    <w:unhideWhenUsed/>
    <w:rsid w:val="008B40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06C"/>
  </w:style>
  <w:style w:type="paragraph" w:styleId="Pidipagina">
    <w:name w:val="footer"/>
    <w:basedOn w:val="Normale"/>
    <w:link w:val="PidipaginaCarattere"/>
    <w:uiPriority w:val="99"/>
    <w:unhideWhenUsed/>
    <w:rsid w:val="008B40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10423</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2021-05-26T15:05:00Z</dcterms:created>
  <dcterms:modified xsi:type="dcterms:W3CDTF">2021-05-26T15:05:00Z</dcterms:modified>
</cp:coreProperties>
</file>