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12" w:rsidRPr="000A4E63" w:rsidRDefault="004E1612" w:rsidP="004E1612">
      <w:pPr>
        <w:jc w:val="center"/>
        <w:rPr>
          <w:rFonts w:ascii="Bookman Old Style" w:hAnsi="Bookman Old Style"/>
          <w:b/>
          <w:sz w:val="22"/>
          <w:szCs w:val="22"/>
        </w:rPr>
      </w:pPr>
      <w:r w:rsidRPr="000A4E63">
        <w:rPr>
          <w:rFonts w:ascii="Bookman Old Style" w:hAnsi="Bookman Old Style"/>
          <w:noProof/>
          <w:sz w:val="22"/>
          <w:szCs w:val="22"/>
          <w:lang w:eastAsia="it-IT"/>
        </w:rPr>
        <w:drawing>
          <wp:inline distT="0" distB="0" distL="0" distR="0" wp14:anchorId="60C31488" wp14:editId="36F7864A">
            <wp:extent cx="622000" cy="919480"/>
            <wp:effectExtent l="0" t="0" r="6985" b="0"/>
            <wp:docPr id="183538270" name="Immagine 23"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852" cy="929609"/>
                    </a:xfrm>
                    <a:prstGeom prst="rect">
                      <a:avLst/>
                    </a:prstGeom>
                  </pic:spPr>
                </pic:pic>
              </a:graphicData>
            </a:graphic>
          </wp:inline>
        </w:drawing>
      </w:r>
    </w:p>
    <w:p w:rsidR="00E23A69" w:rsidRPr="000A4E63" w:rsidRDefault="00E23A69" w:rsidP="00737D9B">
      <w:pPr>
        <w:spacing w:line="252" w:lineRule="auto"/>
        <w:contextualSpacing/>
        <w:jc w:val="center"/>
        <w:rPr>
          <w:rFonts w:ascii="Bookman Old Style" w:hAnsi="Bookman Old Style"/>
          <w:b/>
          <w:bCs/>
          <w:color w:val="002060"/>
          <w:sz w:val="22"/>
          <w:szCs w:val="22"/>
        </w:rPr>
      </w:pPr>
    </w:p>
    <w:p w:rsidR="008D6AA9" w:rsidRDefault="008D6AA9" w:rsidP="00A51824">
      <w:pPr>
        <w:spacing w:line="252" w:lineRule="auto"/>
        <w:contextualSpacing/>
        <w:rPr>
          <w:rFonts w:ascii="Bookman Old Style" w:hAnsi="Bookman Old Style"/>
          <w:b/>
          <w:bCs/>
          <w:color w:val="002060"/>
          <w:sz w:val="22"/>
          <w:szCs w:val="22"/>
        </w:rPr>
      </w:pPr>
    </w:p>
    <w:p w:rsidR="00093D5E" w:rsidRPr="000A4E63" w:rsidRDefault="00093D5E" w:rsidP="00A51824">
      <w:pPr>
        <w:spacing w:line="252" w:lineRule="auto"/>
        <w:contextualSpacing/>
        <w:rPr>
          <w:rFonts w:ascii="Bookman Old Style" w:hAnsi="Bookman Old Style"/>
          <w:b/>
          <w:bCs/>
          <w:color w:val="002060"/>
          <w:sz w:val="22"/>
          <w:szCs w:val="22"/>
        </w:rPr>
      </w:pPr>
    </w:p>
    <w:p w:rsidR="00093D5E" w:rsidRPr="000A4E63" w:rsidRDefault="00093D5E" w:rsidP="00A51824">
      <w:pPr>
        <w:spacing w:line="252" w:lineRule="auto"/>
        <w:contextualSpacing/>
        <w:rPr>
          <w:rFonts w:ascii="Bookman Old Style" w:hAnsi="Bookman Old Style"/>
          <w:b/>
          <w:bCs/>
          <w:color w:val="002060"/>
          <w:sz w:val="22"/>
          <w:szCs w:val="22"/>
        </w:rPr>
      </w:pPr>
    </w:p>
    <w:p w:rsidR="00C2354E" w:rsidRDefault="00A51824" w:rsidP="00CE7453">
      <w:pPr>
        <w:spacing w:line="252" w:lineRule="auto"/>
        <w:contextualSpacing/>
        <w:jc w:val="center"/>
        <w:rPr>
          <w:rFonts w:ascii="Bookman Old Style" w:hAnsi="Bookman Old Style"/>
          <w:b/>
          <w:bCs/>
          <w:color w:val="0070C0"/>
          <w:sz w:val="28"/>
          <w:szCs w:val="28"/>
        </w:rPr>
      </w:pPr>
      <w:r w:rsidRPr="00CE7453">
        <w:rPr>
          <w:rFonts w:ascii="Bookman Old Style" w:hAnsi="Bookman Old Style"/>
          <w:b/>
          <w:bCs/>
          <w:color w:val="0070C0"/>
          <w:sz w:val="28"/>
          <w:szCs w:val="28"/>
        </w:rPr>
        <w:t xml:space="preserve">Nota </w:t>
      </w:r>
      <w:r w:rsidR="00093D5E" w:rsidRPr="00CE7453">
        <w:rPr>
          <w:rFonts w:ascii="Bookman Old Style" w:hAnsi="Bookman Old Style"/>
          <w:b/>
          <w:bCs/>
          <w:color w:val="0070C0"/>
          <w:sz w:val="28"/>
          <w:szCs w:val="28"/>
        </w:rPr>
        <w:t xml:space="preserve">sintetica sulle </w:t>
      </w:r>
      <w:r w:rsidR="00B6587F" w:rsidRPr="00CE7453">
        <w:rPr>
          <w:rFonts w:ascii="Bookman Old Style" w:hAnsi="Bookman Old Style"/>
          <w:b/>
          <w:bCs/>
          <w:color w:val="0070C0"/>
          <w:sz w:val="28"/>
          <w:szCs w:val="28"/>
        </w:rPr>
        <w:t>norme di interesse</w:t>
      </w:r>
      <w:r w:rsidR="00CE7453">
        <w:rPr>
          <w:rFonts w:ascii="Bookman Old Style" w:hAnsi="Bookman Old Style"/>
          <w:b/>
          <w:bCs/>
          <w:color w:val="0070C0"/>
          <w:sz w:val="28"/>
          <w:szCs w:val="28"/>
        </w:rPr>
        <w:t xml:space="preserve"> contenute </w:t>
      </w:r>
    </w:p>
    <w:p w:rsidR="004847A9" w:rsidRPr="00CE7453" w:rsidRDefault="00093D5E" w:rsidP="00CE7453">
      <w:pPr>
        <w:spacing w:line="252" w:lineRule="auto"/>
        <w:contextualSpacing/>
        <w:jc w:val="center"/>
        <w:rPr>
          <w:rFonts w:ascii="Bookman Old Style" w:hAnsi="Bookman Old Style"/>
          <w:b/>
          <w:bCs/>
          <w:color w:val="0070C0"/>
          <w:sz w:val="28"/>
          <w:szCs w:val="28"/>
        </w:rPr>
      </w:pPr>
      <w:r w:rsidRPr="00CE7453">
        <w:rPr>
          <w:rFonts w:ascii="Bookman Old Style" w:hAnsi="Bookman Old Style"/>
          <w:b/>
          <w:bCs/>
          <w:color w:val="0070C0"/>
          <w:sz w:val="28"/>
          <w:szCs w:val="28"/>
        </w:rPr>
        <w:t xml:space="preserve">nella </w:t>
      </w:r>
      <w:r w:rsidR="008D6AA9" w:rsidRPr="00CE7453">
        <w:rPr>
          <w:rFonts w:ascii="Bookman Old Style" w:hAnsi="Bookman Old Style"/>
          <w:b/>
          <w:bCs/>
          <w:color w:val="0070C0"/>
          <w:sz w:val="28"/>
          <w:szCs w:val="28"/>
        </w:rPr>
        <w:t>L</w:t>
      </w:r>
      <w:r w:rsidRPr="00CE7453">
        <w:rPr>
          <w:rFonts w:ascii="Bookman Old Style" w:hAnsi="Bookman Old Style"/>
          <w:b/>
          <w:bCs/>
          <w:color w:val="0070C0"/>
          <w:sz w:val="28"/>
          <w:szCs w:val="28"/>
        </w:rPr>
        <w:t xml:space="preserve">egge di </w:t>
      </w:r>
      <w:r w:rsidR="008D6AA9" w:rsidRPr="00CE7453">
        <w:rPr>
          <w:rFonts w:ascii="Bookman Old Style" w:hAnsi="Bookman Old Style"/>
          <w:b/>
          <w:bCs/>
          <w:color w:val="0070C0"/>
          <w:sz w:val="28"/>
          <w:szCs w:val="28"/>
        </w:rPr>
        <w:t>B</w:t>
      </w:r>
      <w:r w:rsidRPr="00CE7453">
        <w:rPr>
          <w:rFonts w:ascii="Bookman Old Style" w:hAnsi="Bookman Old Style"/>
          <w:b/>
          <w:bCs/>
          <w:color w:val="0070C0"/>
          <w:sz w:val="28"/>
          <w:szCs w:val="28"/>
        </w:rPr>
        <w:t xml:space="preserve">ilancio per </w:t>
      </w:r>
      <w:r w:rsidR="008D6AA9" w:rsidRPr="00CE7453">
        <w:rPr>
          <w:rFonts w:ascii="Bookman Old Style" w:hAnsi="Bookman Old Style"/>
          <w:b/>
          <w:bCs/>
          <w:color w:val="0070C0"/>
          <w:sz w:val="28"/>
          <w:szCs w:val="28"/>
        </w:rPr>
        <w:t xml:space="preserve">l’anno </w:t>
      </w:r>
      <w:r w:rsidRPr="00CE7453">
        <w:rPr>
          <w:rFonts w:ascii="Bookman Old Style" w:hAnsi="Bookman Old Style"/>
          <w:b/>
          <w:bCs/>
          <w:color w:val="0070C0"/>
          <w:sz w:val="28"/>
          <w:szCs w:val="28"/>
        </w:rPr>
        <w:t>2022</w:t>
      </w:r>
    </w:p>
    <w:p w:rsidR="00687E3B" w:rsidRPr="000A4E63" w:rsidRDefault="00687E3B" w:rsidP="00737D9B">
      <w:pPr>
        <w:spacing w:line="252" w:lineRule="auto"/>
        <w:contextualSpacing/>
        <w:jc w:val="center"/>
        <w:rPr>
          <w:rFonts w:ascii="Bookman Old Style" w:hAnsi="Bookman Old Style"/>
          <w:b/>
          <w:bCs/>
          <w:color w:val="002060"/>
          <w:sz w:val="22"/>
          <w:szCs w:val="22"/>
        </w:rPr>
      </w:pPr>
    </w:p>
    <w:p w:rsidR="008D6AA9" w:rsidRDefault="00190A4A" w:rsidP="00884E91">
      <w:pPr>
        <w:jc w:val="both"/>
        <w:rPr>
          <w:rFonts w:ascii="Bookman Old Style" w:hAnsi="Bookman Old Style"/>
          <w:sz w:val="22"/>
          <w:szCs w:val="22"/>
        </w:rPr>
      </w:pPr>
      <w:r>
        <w:rPr>
          <w:rFonts w:ascii="Bookman Old Style" w:hAnsi="Bookman Old Style"/>
          <w:sz w:val="22"/>
          <w:szCs w:val="22"/>
        </w:rPr>
        <w:t>Si riporta di seguito una sintesi delle principali disposizioni di interesse dei Comuni e delle Città Metropolitane contenuti nella legge di bilancio per il 2022</w:t>
      </w:r>
      <w:r w:rsidR="008D6AA9">
        <w:rPr>
          <w:rFonts w:ascii="Bookman Old Style" w:hAnsi="Bookman Old Style"/>
          <w:sz w:val="22"/>
          <w:szCs w:val="22"/>
        </w:rPr>
        <w:t>,</w:t>
      </w:r>
      <w:r>
        <w:rPr>
          <w:rFonts w:ascii="Bookman Old Style" w:hAnsi="Bookman Old Style"/>
          <w:sz w:val="22"/>
          <w:szCs w:val="22"/>
        </w:rPr>
        <w:t xml:space="preserve"> </w:t>
      </w:r>
      <w:r w:rsidR="008D6AA9">
        <w:rPr>
          <w:rFonts w:ascii="Bookman Old Style" w:hAnsi="Bookman Old Style"/>
          <w:sz w:val="22"/>
          <w:szCs w:val="22"/>
        </w:rPr>
        <w:t xml:space="preserve">approvata in via definitiva dalla Camera dei Deputati in data 29 dicembre 2021 </w:t>
      </w:r>
    </w:p>
    <w:p w:rsidR="00190A4A" w:rsidRDefault="00190A4A" w:rsidP="00884E91">
      <w:pPr>
        <w:jc w:val="both"/>
        <w:rPr>
          <w:rFonts w:ascii="Bookman Old Style" w:hAnsi="Bookman Old Style"/>
          <w:sz w:val="22"/>
          <w:szCs w:val="22"/>
        </w:rPr>
      </w:pPr>
    </w:p>
    <w:p w:rsidR="00190A4A" w:rsidRDefault="00190A4A" w:rsidP="00884E91">
      <w:pPr>
        <w:jc w:val="both"/>
        <w:rPr>
          <w:rFonts w:ascii="Bookman Old Style" w:hAnsi="Bookman Old Style"/>
          <w:sz w:val="22"/>
          <w:szCs w:val="22"/>
        </w:rPr>
      </w:pPr>
    </w:p>
    <w:p w:rsidR="00190A4A" w:rsidRPr="00950095" w:rsidRDefault="00190A4A" w:rsidP="00190A4A">
      <w:pPr>
        <w:pStyle w:val="Paragrafoelenco"/>
        <w:numPr>
          <w:ilvl w:val="0"/>
          <w:numId w:val="15"/>
        </w:numPr>
        <w:spacing w:before="10"/>
        <w:ind w:right="19"/>
        <w:jc w:val="both"/>
        <w:rPr>
          <w:rFonts w:ascii="Bookman Old Style" w:hAnsi="Bookman Old Style"/>
          <w:b/>
          <w:bCs/>
          <w:color w:val="FF0000"/>
        </w:rPr>
      </w:pPr>
      <w:r w:rsidRPr="00950095">
        <w:rPr>
          <w:rFonts w:ascii="Bookman Old Style" w:hAnsi="Bookman Old Style"/>
          <w:b/>
          <w:bCs/>
          <w:color w:val="FF0000"/>
        </w:rPr>
        <w:t>Disposizioni in materia di governance e remunerazione del servizio nazionale della riscossione (commi 14 e 15)</w:t>
      </w:r>
    </w:p>
    <w:p w:rsidR="00190A4A" w:rsidRPr="00C67937" w:rsidRDefault="00190A4A" w:rsidP="00190A4A">
      <w:pPr>
        <w:spacing w:before="10"/>
        <w:ind w:right="19"/>
        <w:jc w:val="both"/>
        <w:rPr>
          <w:rFonts w:ascii="Bookman Old Style" w:hAnsi="Bookman Old Style"/>
          <w:b/>
          <w:bCs/>
          <w:color w:val="002060"/>
          <w:sz w:val="22"/>
          <w:szCs w:val="22"/>
        </w:rPr>
      </w:pPr>
    </w:p>
    <w:p w:rsidR="00190A4A" w:rsidRPr="00C67937" w:rsidRDefault="00190A4A" w:rsidP="00190A4A">
      <w:pPr>
        <w:jc w:val="both"/>
        <w:rPr>
          <w:rFonts w:ascii="Bookman Old Style" w:eastAsia="Times New Roman" w:hAnsi="Bookman Old Style"/>
          <w:sz w:val="22"/>
          <w:szCs w:val="22"/>
        </w:rPr>
      </w:pPr>
      <w:r w:rsidRPr="00C67937">
        <w:rPr>
          <w:rFonts w:ascii="Bookman Old Style" w:eastAsia="Times New Roman" w:hAnsi="Bookman Old Style"/>
          <w:sz w:val="22"/>
          <w:szCs w:val="22"/>
        </w:rPr>
        <w:t xml:space="preserve">La norma interviene sulla </w:t>
      </w:r>
      <w:r w:rsidRPr="00C67937">
        <w:rPr>
          <w:rFonts w:ascii="Bookman Old Style" w:eastAsia="Times New Roman" w:hAnsi="Bookman Old Style"/>
          <w:i/>
          <w:iCs/>
          <w:sz w:val="22"/>
          <w:szCs w:val="22"/>
        </w:rPr>
        <w:t>governance</w:t>
      </w:r>
      <w:r w:rsidRPr="00C67937">
        <w:rPr>
          <w:rFonts w:ascii="Bookman Old Style" w:eastAsia="Times New Roman" w:hAnsi="Bookman Old Style"/>
          <w:sz w:val="22"/>
          <w:szCs w:val="22"/>
        </w:rPr>
        <w:t xml:space="preserve"> dell’Agenzia Entrate-Riscossione, che viene posta in capo all’Agenzia delle Entrate e dispone regole sulla remunerazione dell’attività del riscossore nazionale, a decorrere dagli atti di riscossione emessi dal 2022, in una logica di superamento dell’aggio di riscossione, argomento oggetto della legge di delega fiscale. </w:t>
      </w:r>
    </w:p>
    <w:p w:rsidR="00190A4A" w:rsidRPr="00C67937" w:rsidRDefault="00190A4A" w:rsidP="00190A4A">
      <w:pPr>
        <w:jc w:val="both"/>
        <w:rPr>
          <w:rFonts w:ascii="Bookman Old Style" w:eastAsia="Times New Roman" w:hAnsi="Bookman Old Style"/>
          <w:sz w:val="22"/>
          <w:szCs w:val="22"/>
        </w:rPr>
      </w:pPr>
      <w:r w:rsidRPr="00C67937">
        <w:rPr>
          <w:rFonts w:ascii="Bookman Old Style" w:eastAsia="Times New Roman" w:hAnsi="Bookman Old Style"/>
          <w:sz w:val="22"/>
          <w:szCs w:val="22"/>
        </w:rPr>
        <w:t xml:space="preserve">Su questo punto in particolare, attraverso la sostituzione dell’articolo 17 del d.lgs. n. 112 del 1999, si stabilisce che le spese per procedure esecutive e notifica continuano ad essere attribuite ai destinatari delle procedure di recupero e si dispone l’addebito a carico di tutti gli enti diversi dalle amministrazioni dello Stato o previdenziali che si servono del riscossore nazionale di due quote: una quota – da determinarsi con successivo decreto – in caso di emanazione di provvedimento di sgravio totale o parziale da parte dell’ente impositore; un’ulteriore quota di partecipazione al costo del servizio, per un importo pari all’1 per cento delle somme riscosse. </w:t>
      </w:r>
    </w:p>
    <w:p w:rsidR="00190A4A" w:rsidRPr="00C67937" w:rsidRDefault="00190A4A" w:rsidP="00190A4A">
      <w:pPr>
        <w:jc w:val="both"/>
        <w:rPr>
          <w:rFonts w:ascii="Bookman Old Style" w:eastAsia="Times New Roman" w:hAnsi="Bookman Old Style"/>
          <w:sz w:val="22"/>
          <w:szCs w:val="22"/>
        </w:rPr>
      </w:pPr>
    </w:p>
    <w:p w:rsidR="00174AAB" w:rsidRDefault="00174AAB" w:rsidP="00884E91">
      <w:pPr>
        <w:jc w:val="both"/>
        <w:rPr>
          <w:rFonts w:ascii="Bookman Old Style" w:hAnsi="Bookman Old Style"/>
          <w:sz w:val="22"/>
          <w:szCs w:val="22"/>
        </w:rPr>
      </w:pPr>
    </w:p>
    <w:p w:rsidR="00DB218B" w:rsidRPr="007026F9" w:rsidRDefault="00D66AAF" w:rsidP="001717E0">
      <w:pPr>
        <w:pStyle w:val="Paragrafoelenco"/>
        <w:numPr>
          <w:ilvl w:val="0"/>
          <w:numId w:val="15"/>
        </w:numPr>
        <w:spacing w:line="240" w:lineRule="auto"/>
        <w:jc w:val="both"/>
        <w:rPr>
          <w:rFonts w:ascii="Bookman Old Style" w:hAnsi="Bookman Old Style"/>
          <w:b/>
          <w:bCs/>
          <w:color w:val="002060"/>
        </w:rPr>
      </w:pPr>
      <w:bookmarkStart w:id="0" w:name="_Hlk91062465"/>
      <w:r w:rsidRPr="00950095">
        <w:rPr>
          <w:rFonts w:ascii="Bookman Old Style" w:hAnsi="Bookman Old Style"/>
          <w:b/>
          <w:bCs/>
          <w:color w:val="FF0000"/>
        </w:rPr>
        <w:t>Proroga s</w:t>
      </w:r>
      <w:r w:rsidR="00DB218B" w:rsidRPr="00950095">
        <w:rPr>
          <w:rFonts w:ascii="Bookman Old Style" w:hAnsi="Bookman Old Style"/>
          <w:b/>
          <w:bCs/>
          <w:color w:val="FF0000"/>
        </w:rPr>
        <w:t>uper bonus e sisma bonus (</w:t>
      </w:r>
      <w:r w:rsidR="00486006" w:rsidRPr="00950095">
        <w:rPr>
          <w:rFonts w:ascii="Bookman Old Style" w:hAnsi="Bookman Old Style"/>
          <w:b/>
          <w:bCs/>
          <w:color w:val="FF0000"/>
        </w:rPr>
        <w:t>art. 1, comma 28</w:t>
      </w:r>
      <w:r w:rsidR="00DB218B" w:rsidRPr="00950095">
        <w:rPr>
          <w:rFonts w:ascii="Bookman Old Style" w:hAnsi="Bookman Old Style"/>
          <w:b/>
          <w:bCs/>
          <w:color w:val="FF0000"/>
        </w:rPr>
        <w:t>)</w:t>
      </w:r>
    </w:p>
    <w:p w:rsidR="00121A8E" w:rsidRPr="000A4E63" w:rsidRDefault="00121A8E" w:rsidP="001717E0">
      <w:pPr>
        <w:jc w:val="both"/>
        <w:rPr>
          <w:rFonts w:ascii="Bookman Old Style" w:eastAsia="Times New Roman" w:hAnsi="Bookman Old Style"/>
          <w:sz w:val="22"/>
          <w:szCs w:val="22"/>
        </w:rPr>
      </w:pPr>
      <w:r w:rsidRPr="000A4E63">
        <w:rPr>
          <w:rFonts w:ascii="Bookman Old Style" w:eastAsia="Times New Roman" w:hAnsi="Bookman Old Style"/>
          <w:sz w:val="22"/>
          <w:szCs w:val="22"/>
        </w:rPr>
        <w:t xml:space="preserve">E’ prevista la proroga al 2023 (con il 110%) e fino al 2025 con una diminuzione della percentuale soggetta all’incentivo, vale a dire 70% per le spese sostenute nel 2024, 65% per quelle sostenute nel 2025. </w:t>
      </w:r>
    </w:p>
    <w:p w:rsidR="00991C17" w:rsidRPr="000A4E63" w:rsidRDefault="00E446E4" w:rsidP="00991C17">
      <w:pPr>
        <w:jc w:val="both"/>
        <w:rPr>
          <w:rFonts w:ascii="Bookman Old Style" w:hAnsi="Bookman Old Style"/>
          <w:sz w:val="22"/>
          <w:szCs w:val="22"/>
        </w:rPr>
      </w:pPr>
      <w:r w:rsidRPr="000A4E63">
        <w:rPr>
          <w:rFonts w:ascii="Bookman Old Style" w:eastAsia="Times New Roman" w:hAnsi="Bookman Old Style"/>
          <w:sz w:val="22"/>
          <w:szCs w:val="22"/>
        </w:rPr>
        <w:t>V</w:t>
      </w:r>
      <w:r w:rsidR="00991C17" w:rsidRPr="000A4E63">
        <w:rPr>
          <w:rFonts w:ascii="Bookman Old Style" w:hAnsi="Bookman Old Style"/>
          <w:color w:val="000000"/>
          <w:sz w:val="22"/>
          <w:szCs w:val="22"/>
          <w:bdr w:val="none" w:sz="0" w:space="0" w:color="auto" w:frame="1"/>
        </w:rPr>
        <w:t>iene disposto che</w:t>
      </w:r>
      <w:r w:rsidR="00991C17" w:rsidRPr="000A4E63">
        <w:rPr>
          <w:rFonts w:ascii="Bookman Old Style" w:hAnsi="Bookman Old Style"/>
          <w:sz w:val="22"/>
          <w:szCs w:val="22"/>
        </w:rPr>
        <w:t>, per interventi effettuati su edifici unifamiliari da persone fisiche si potrà fruire della </w:t>
      </w:r>
      <w:proofErr w:type="spellStart"/>
      <w:r w:rsidR="00991C17" w:rsidRPr="000A4E63">
        <w:rPr>
          <w:rFonts w:ascii="Bookman Old Style" w:hAnsi="Bookman Old Style"/>
          <w:sz w:val="22"/>
          <w:szCs w:val="22"/>
          <w:bdr w:val="none" w:sz="0" w:space="0" w:color="auto" w:frame="1"/>
        </w:rPr>
        <w:t>maxidetrazione</w:t>
      </w:r>
      <w:proofErr w:type="spellEnd"/>
      <w:r w:rsidR="00991C17" w:rsidRPr="000A4E63">
        <w:rPr>
          <w:rFonts w:ascii="Bookman Old Style" w:hAnsi="Bookman Old Style"/>
          <w:sz w:val="22"/>
          <w:szCs w:val="22"/>
        </w:rPr>
        <w:t> fino al 31 dicembre 2022 a condizione che entro il </w:t>
      </w:r>
      <w:r w:rsidR="00991C17" w:rsidRPr="000A4E63">
        <w:rPr>
          <w:rFonts w:ascii="Bookman Old Style" w:hAnsi="Bookman Old Style"/>
          <w:sz w:val="22"/>
          <w:szCs w:val="22"/>
          <w:bdr w:val="none" w:sz="0" w:space="0" w:color="auto" w:frame="1"/>
        </w:rPr>
        <w:t>30 giugno 2022</w:t>
      </w:r>
      <w:r w:rsidR="00991C17" w:rsidRPr="000A4E63">
        <w:rPr>
          <w:rFonts w:ascii="Bookman Old Style" w:hAnsi="Bookman Old Style"/>
          <w:sz w:val="22"/>
          <w:szCs w:val="22"/>
        </w:rPr>
        <w:t> siano stati effettuali lavori effettuati lavori per almeno il </w:t>
      </w:r>
      <w:r w:rsidR="00991C17" w:rsidRPr="000A4E63">
        <w:rPr>
          <w:rFonts w:ascii="Bookman Old Style" w:hAnsi="Bookman Old Style"/>
          <w:sz w:val="22"/>
          <w:szCs w:val="22"/>
          <w:bdr w:val="none" w:sz="0" w:space="0" w:color="auto" w:frame="1"/>
        </w:rPr>
        <w:t>30%</w:t>
      </w:r>
      <w:r w:rsidR="00991C17" w:rsidRPr="000A4E63">
        <w:rPr>
          <w:rFonts w:ascii="Bookman Old Style" w:hAnsi="Bookman Old Style"/>
          <w:sz w:val="22"/>
          <w:szCs w:val="22"/>
        </w:rPr>
        <w:t xml:space="preserve"> dell’intervento complessivo.  </w:t>
      </w:r>
    </w:p>
    <w:p w:rsidR="00991C17" w:rsidRPr="000A4E63" w:rsidRDefault="00991C17" w:rsidP="00991C17">
      <w:pPr>
        <w:shd w:val="clear" w:color="auto" w:fill="FFFFFF"/>
        <w:jc w:val="both"/>
        <w:textAlignment w:val="baseline"/>
        <w:rPr>
          <w:rFonts w:ascii="Bookman Old Style" w:hAnsi="Bookman Old Style"/>
          <w:sz w:val="22"/>
          <w:szCs w:val="22"/>
        </w:rPr>
      </w:pPr>
      <w:r w:rsidRPr="000A4E63">
        <w:rPr>
          <w:rFonts w:ascii="Bookman Old Style" w:hAnsi="Bookman Old Style"/>
          <w:color w:val="000000"/>
          <w:sz w:val="22"/>
          <w:szCs w:val="22"/>
        </w:rPr>
        <w:t>In tutti gli altri casi, il termine ultimo per concludere i lavori per beneficiare del superbonus 110% resta confermato al 30 giugno 2022.</w:t>
      </w:r>
    </w:p>
    <w:p w:rsidR="00991C17" w:rsidRPr="000A4E63" w:rsidRDefault="00991C17" w:rsidP="00991C17">
      <w:pPr>
        <w:shd w:val="clear" w:color="auto" w:fill="FFFFFF"/>
        <w:jc w:val="both"/>
        <w:textAlignment w:val="baseline"/>
        <w:rPr>
          <w:rFonts w:ascii="Bookman Old Style" w:hAnsi="Bookman Old Style"/>
          <w:sz w:val="22"/>
          <w:szCs w:val="22"/>
        </w:rPr>
      </w:pPr>
      <w:r w:rsidRPr="000A4E63">
        <w:rPr>
          <w:rFonts w:ascii="Bookman Old Style" w:hAnsi="Bookman Old Style"/>
          <w:color w:val="000000"/>
          <w:sz w:val="22"/>
          <w:szCs w:val="22"/>
        </w:rPr>
        <w:t>Inoltre</w:t>
      </w:r>
      <w:r w:rsidR="005F4AD2">
        <w:rPr>
          <w:rFonts w:ascii="Bookman Old Style" w:hAnsi="Bookman Old Style"/>
          <w:color w:val="000000"/>
          <w:sz w:val="22"/>
          <w:szCs w:val="22"/>
        </w:rPr>
        <w:t>,</w:t>
      </w:r>
      <w:r w:rsidR="008A6D44" w:rsidRPr="000A4E63">
        <w:rPr>
          <w:rFonts w:ascii="Bookman Old Style" w:hAnsi="Bookman Old Style"/>
          <w:color w:val="000000"/>
          <w:sz w:val="22"/>
          <w:szCs w:val="22"/>
        </w:rPr>
        <w:t xml:space="preserve"> </w:t>
      </w:r>
      <w:r w:rsidRPr="000A4E63">
        <w:rPr>
          <w:rFonts w:ascii="Bookman Old Style" w:hAnsi="Bookman Old Style"/>
          <w:color w:val="000000"/>
          <w:sz w:val="22"/>
          <w:szCs w:val="22"/>
        </w:rPr>
        <w:t>vengono ammesse nel superbonus le abitazioni servite dal </w:t>
      </w:r>
      <w:r w:rsidRPr="000A4E63">
        <w:rPr>
          <w:rFonts w:ascii="Bookman Old Style" w:hAnsi="Bookman Old Style"/>
          <w:color w:val="000000"/>
          <w:sz w:val="22"/>
          <w:szCs w:val="22"/>
          <w:bdr w:val="none" w:sz="0" w:space="0" w:color="auto" w:frame="1"/>
        </w:rPr>
        <w:t>teleriscaldamento</w:t>
      </w:r>
      <w:r w:rsidR="005006B4" w:rsidRPr="000A4E63">
        <w:rPr>
          <w:rFonts w:ascii="Bookman Old Style" w:hAnsi="Bookman Old Style"/>
          <w:color w:val="000000"/>
          <w:sz w:val="22"/>
          <w:szCs w:val="22"/>
        </w:rPr>
        <w:t xml:space="preserve"> e</w:t>
      </w:r>
      <w:r w:rsidRPr="000A4E63">
        <w:rPr>
          <w:rFonts w:ascii="Bookman Old Style" w:hAnsi="Bookman Old Style"/>
          <w:color w:val="000000"/>
          <w:sz w:val="22"/>
          <w:szCs w:val="22"/>
        </w:rPr>
        <w:t xml:space="preserve"> vengono allineate le </w:t>
      </w:r>
      <w:r w:rsidRPr="000A4E63">
        <w:rPr>
          <w:rFonts w:ascii="Bookman Old Style" w:hAnsi="Bookman Old Style"/>
          <w:color w:val="000000"/>
          <w:sz w:val="22"/>
          <w:szCs w:val="22"/>
          <w:bdr w:val="none" w:sz="0" w:space="0" w:color="auto" w:frame="1"/>
        </w:rPr>
        <w:t>scadenze</w:t>
      </w:r>
      <w:r w:rsidRPr="000A4E63">
        <w:rPr>
          <w:rFonts w:ascii="Bookman Old Style" w:hAnsi="Bookman Old Style"/>
          <w:color w:val="000000"/>
          <w:sz w:val="22"/>
          <w:szCs w:val="22"/>
        </w:rPr>
        <w:t> dei lavori trainanti con quelle dei lavori trainati</w:t>
      </w:r>
    </w:p>
    <w:p w:rsidR="00F414EF" w:rsidRPr="001B3740" w:rsidRDefault="001B3740" w:rsidP="007460E1">
      <w:pPr>
        <w:shd w:val="clear" w:color="auto" w:fill="FFFFFF"/>
        <w:jc w:val="both"/>
        <w:textAlignment w:val="baseline"/>
        <w:rPr>
          <w:rFonts w:ascii="Bookman Old Style" w:hAnsi="Bookman Old Style"/>
          <w:b/>
          <w:bCs/>
          <w:color w:val="000000"/>
          <w:sz w:val="22"/>
          <w:szCs w:val="22"/>
        </w:rPr>
      </w:pPr>
      <w:r w:rsidRPr="001B3740">
        <w:rPr>
          <w:rFonts w:ascii="Bookman Old Style" w:hAnsi="Bookman Old Style"/>
          <w:b/>
          <w:bCs/>
          <w:sz w:val="22"/>
          <w:szCs w:val="22"/>
        </w:rPr>
        <w:t>Si prevede inoltre l</w:t>
      </w:r>
      <w:r w:rsidR="00F414EF" w:rsidRPr="001B3740">
        <w:rPr>
          <w:rFonts w:ascii="Bookman Old Style" w:hAnsi="Bookman Old Style"/>
          <w:b/>
          <w:bCs/>
          <w:sz w:val="22"/>
          <w:szCs w:val="22"/>
        </w:rPr>
        <w:t>a proroga, fino al 31 dicembre 2025, delle detrazioni al 110% (Superbonus) per gli interventi edilizi effettuati nelle aree colpite da eventi sismici verificatisi a far data dal 1° aprile 2009, dove sia stato dichiarato lo stato di emergenza.</w:t>
      </w:r>
    </w:p>
    <w:p w:rsidR="00F414EF" w:rsidRDefault="00F414EF" w:rsidP="007460E1">
      <w:pPr>
        <w:shd w:val="clear" w:color="auto" w:fill="FFFFFF"/>
        <w:jc w:val="both"/>
        <w:textAlignment w:val="baseline"/>
        <w:rPr>
          <w:rFonts w:ascii="Bookman Old Style" w:hAnsi="Bookman Old Style"/>
          <w:color w:val="000000"/>
          <w:sz w:val="22"/>
          <w:szCs w:val="22"/>
        </w:rPr>
      </w:pPr>
    </w:p>
    <w:p w:rsidR="000370B1" w:rsidRPr="000A4E63" w:rsidRDefault="000370B1" w:rsidP="007460E1">
      <w:pPr>
        <w:shd w:val="clear" w:color="auto" w:fill="FFFFFF"/>
        <w:jc w:val="both"/>
        <w:textAlignment w:val="baseline"/>
        <w:rPr>
          <w:rFonts w:ascii="Bookman Old Style" w:hAnsi="Bookman Old Style"/>
          <w:color w:val="000000"/>
          <w:sz w:val="22"/>
          <w:szCs w:val="22"/>
        </w:rPr>
      </w:pPr>
    </w:p>
    <w:p w:rsidR="002329C9" w:rsidRPr="00950095" w:rsidRDefault="000370B1" w:rsidP="00B82406">
      <w:pPr>
        <w:pStyle w:val="Paragrafoelenco"/>
        <w:keepNext/>
        <w:widowControl/>
        <w:numPr>
          <w:ilvl w:val="0"/>
          <w:numId w:val="15"/>
        </w:numPr>
        <w:spacing w:line="240" w:lineRule="auto"/>
        <w:ind w:left="714" w:hanging="357"/>
        <w:jc w:val="both"/>
        <w:rPr>
          <w:rFonts w:ascii="Bookman Old Style" w:hAnsi="Bookman Old Style"/>
          <w:b/>
          <w:bCs/>
          <w:color w:val="FF0000"/>
        </w:rPr>
      </w:pPr>
      <w:r w:rsidRPr="00950095">
        <w:rPr>
          <w:rFonts w:ascii="Bookman Old Style" w:hAnsi="Bookman Old Style"/>
          <w:b/>
          <w:bCs/>
          <w:color w:val="FF0000"/>
        </w:rPr>
        <w:t>Ulteriori proroghe di detrazioni (art. 1, comma 37)</w:t>
      </w:r>
    </w:p>
    <w:p w:rsidR="000370B1" w:rsidRPr="000370B1" w:rsidRDefault="000370B1" w:rsidP="000370B1">
      <w:pPr>
        <w:jc w:val="both"/>
        <w:rPr>
          <w:rFonts w:ascii="Bookman Old Style" w:hAnsi="Bookman Old Style"/>
          <w:sz w:val="22"/>
          <w:szCs w:val="22"/>
        </w:rPr>
      </w:pPr>
      <w:r w:rsidRPr="000370B1">
        <w:rPr>
          <w:rFonts w:ascii="Bookman Old Style" w:hAnsi="Bookman Old Style"/>
          <w:sz w:val="22"/>
          <w:szCs w:val="22"/>
        </w:rPr>
        <w:t xml:space="preserve">La norma in esame prevede la seguente serie di proroghe di detrazioni già previste dalla vigente normativa: </w:t>
      </w:r>
    </w:p>
    <w:p w:rsidR="000370B1" w:rsidRPr="00190A4A" w:rsidRDefault="000370B1" w:rsidP="00190A4A">
      <w:pPr>
        <w:pStyle w:val="Paragrafoelenco"/>
        <w:numPr>
          <w:ilvl w:val="0"/>
          <w:numId w:val="21"/>
        </w:numPr>
        <w:jc w:val="both"/>
        <w:rPr>
          <w:rFonts w:ascii="Bookman Old Style" w:hAnsi="Bookman Old Style"/>
        </w:rPr>
      </w:pPr>
      <w:r w:rsidRPr="00190A4A">
        <w:rPr>
          <w:rFonts w:ascii="Bookman Old Style" w:hAnsi="Bookman Old Style"/>
        </w:rPr>
        <w:t xml:space="preserve">Per le spese sostenute negli anni 2022, 2023 e 2024 per interventi di riqualificazione energetica, </w:t>
      </w:r>
      <w:r w:rsidR="008E30F7">
        <w:rPr>
          <w:rFonts w:ascii="Bookman Old Style" w:hAnsi="Bookman Old Style"/>
        </w:rPr>
        <w:t xml:space="preserve">viene prorogata la </w:t>
      </w:r>
      <w:r w:rsidRPr="00190A4A">
        <w:rPr>
          <w:rFonts w:ascii="Bookman Old Style" w:hAnsi="Bookman Old Style"/>
        </w:rPr>
        <w:t>detrazione pari al 50% per gli interventi di acquisto e posa in opera di finestre comprensive di infissi e di generatori di calore alimentati da biomasse combustibili. Per le altre tipologie di intervento, inclusi gli interventi di sostituzione di impianti di climatizzazione invernale con impianti dotati di caldaie a condensazione di efficienza almeno pari alla classe A, (compresi anche apparecchi ibridi e generatori di aria calda a condensazione) è prevista un’aliquota pari al 65%. La detrazione deve essere suddivisa in 10 quote annuali di pari importo.</w:t>
      </w:r>
    </w:p>
    <w:p w:rsidR="000370B1" w:rsidRPr="00F97B91" w:rsidRDefault="008E30F7" w:rsidP="00F97B91">
      <w:pPr>
        <w:pStyle w:val="Paragrafoelenco"/>
        <w:numPr>
          <w:ilvl w:val="0"/>
          <w:numId w:val="21"/>
        </w:numPr>
        <w:jc w:val="both"/>
        <w:rPr>
          <w:rFonts w:ascii="Bookman Old Style" w:hAnsi="Bookman Old Style"/>
        </w:rPr>
      </w:pPr>
      <w:r>
        <w:rPr>
          <w:rFonts w:ascii="Bookman Old Style" w:hAnsi="Bookman Old Style"/>
        </w:rPr>
        <w:t>Proroga  fino al 31 dicembre 2024</w:t>
      </w:r>
      <w:r w:rsidR="00EB70AD">
        <w:rPr>
          <w:rFonts w:ascii="Bookman Old Style" w:hAnsi="Bookman Old Style"/>
        </w:rPr>
        <w:t xml:space="preserve"> </w:t>
      </w:r>
      <w:r>
        <w:rPr>
          <w:rFonts w:ascii="Bookman Old Style" w:hAnsi="Bookman Old Style"/>
        </w:rPr>
        <w:t xml:space="preserve">della detrazione </w:t>
      </w:r>
      <w:r w:rsidR="000370B1" w:rsidRPr="00F97B91">
        <w:rPr>
          <w:rFonts w:ascii="Bookman Old Style" w:hAnsi="Bookman Old Style"/>
        </w:rPr>
        <w:t xml:space="preserve">pari al 50% con riferimento alle spese sostenute per l’adozione di misure antisismiche su edifici ricadenti nelle zone sismiche 1, 2 e </w:t>
      </w:r>
      <w:r w:rsidR="00EB70AD">
        <w:rPr>
          <w:rFonts w:ascii="Bookman Old Style" w:hAnsi="Bookman Old Style"/>
        </w:rPr>
        <w:t>3.</w:t>
      </w:r>
    </w:p>
    <w:p w:rsidR="000370B1" w:rsidRPr="00F97B91" w:rsidRDefault="008E30F7" w:rsidP="00F97B91">
      <w:pPr>
        <w:pStyle w:val="Paragrafoelenco"/>
        <w:numPr>
          <w:ilvl w:val="0"/>
          <w:numId w:val="21"/>
        </w:numPr>
        <w:jc w:val="both"/>
        <w:rPr>
          <w:rFonts w:ascii="Bookman Old Style" w:hAnsi="Bookman Old Style"/>
        </w:rPr>
      </w:pPr>
      <w:r>
        <w:rPr>
          <w:rFonts w:ascii="Bookman Old Style" w:hAnsi="Bookman Old Style"/>
        </w:rPr>
        <w:t>P</w:t>
      </w:r>
      <w:r w:rsidR="000370B1" w:rsidRPr="00F97B91">
        <w:rPr>
          <w:rFonts w:ascii="Bookman Old Style" w:hAnsi="Bookman Old Style"/>
        </w:rPr>
        <w:t xml:space="preserve">roroga delle detrazioni per spese relative ad interventi finalizzati congiuntamente alla riduzione del rischio sismico e alla riqualificazione energetica per gli anni 2022, 2023 e 2024. </w:t>
      </w:r>
    </w:p>
    <w:p w:rsidR="000370B1" w:rsidRDefault="008E30F7" w:rsidP="00F97B91">
      <w:pPr>
        <w:pStyle w:val="Paragrafoelenco"/>
        <w:numPr>
          <w:ilvl w:val="0"/>
          <w:numId w:val="21"/>
        </w:numPr>
        <w:jc w:val="both"/>
        <w:rPr>
          <w:rFonts w:ascii="Bookman Old Style" w:hAnsi="Bookman Old Style"/>
        </w:rPr>
      </w:pPr>
      <w:r>
        <w:rPr>
          <w:rFonts w:ascii="Bookman Old Style" w:hAnsi="Bookman Old Style"/>
        </w:rPr>
        <w:t>P</w:t>
      </w:r>
      <w:r w:rsidR="000370B1" w:rsidRPr="00F97B91">
        <w:rPr>
          <w:rFonts w:ascii="Bookman Old Style" w:hAnsi="Bookman Old Style"/>
        </w:rPr>
        <w:t>roroga, per le spese sostenute negli anni 2022, 2023 e 2024, della detrazione al 50% per l'acquisto di mobili e di grandi elettrodomestici, fino a 5.000 euro, finalizzati all'arredo dell'immobile oggetto di ristrutturazione, da suddividere in 10 quote annuali di pari importo.</w:t>
      </w:r>
    </w:p>
    <w:p w:rsidR="00F97B91" w:rsidRDefault="00F97B91" w:rsidP="00F97B91">
      <w:pPr>
        <w:pStyle w:val="Paragrafoelenco"/>
        <w:ind w:left="720" w:firstLine="0"/>
        <w:jc w:val="both"/>
        <w:rPr>
          <w:rFonts w:ascii="Bookman Old Style" w:hAnsi="Bookman Old Style"/>
        </w:rPr>
      </w:pPr>
    </w:p>
    <w:p w:rsidR="00F97B91" w:rsidRPr="00950095" w:rsidRDefault="00F97B91" w:rsidP="00950095">
      <w:pPr>
        <w:pStyle w:val="Paragrafoelenco"/>
        <w:keepNext/>
        <w:widowControl/>
        <w:spacing w:line="240" w:lineRule="auto"/>
        <w:ind w:left="714" w:firstLine="0"/>
        <w:jc w:val="both"/>
        <w:rPr>
          <w:rFonts w:ascii="Bookman Old Style" w:hAnsi="Bookman Old Style"/>
          <w:b/>
          <w:bCs/>
          <w:color w:val="FF0000"/>
        </w:rPr>
      </w:pPr>
    </w:p>
    <w:p w:rsidR="00F97B91" w:rsidRPr="00950095" w:rsidRDefault="00F97B91" w:rsidP="00950095">
      <w:pPr>
        <w:pStyle w:val="Paragrafoelenco"/>
        <w:keepNext/>
        <w:widowControl/>
        <w:numPr>
          <w:ilvl w:val="0"/>
          <w:numId w:val="15"/>
        </w:numPr>
        <w:spacing w:line="240" w:lineRule="auto"/>
        <w:ind w:left="714" w:hanging="357"/>
        <w:jc w:val="both"/>
        <w:rPr>
          <w:rFonts w:ascii="Bookman Old Style" w:hAnsi="Bookman Old Style"/>
          <w:b/>
          <w:bCs/>
          <w:color w:val="FF0000"/>
        </w:rPr>
      </w:pPr>
      <w:r w:rsidRPr="00950095">
        <w:rPr>
          <w:rFonts w:ascii="Bookman Old Style" w:hAnsi="Bookman Old Style"/>
          <w:b/>
          <w:bCs/>
          <w:color w:val="FF0000"/>
        </w:rPr>
        <w:t>Disposizioni in materia di reddito di cittadinanza (art. 1, commi 74-84)</w:t>
      </w:r>
    </w:p>
    <w:p w:rsidR="00F97B91" w:rsidRPr="00C67937" w:rsidRDefault="00F97B91" w:rsidP="00F97B91">
      <w:pPr>
        <w:jc w:val="both"/>
        <w:rPr>
          <w:rFonts w:ascii="Bookman Old Style" w:eastAsia="Times New Roman" w:hAnsi="Bookman Old Style"/>
          <w:sz w:val="22"/>
          <w:szCs w:val="22"/>
        </w:rPr>
      </w:pPr>
      <w:r>
        <w:rPr>
          <w:rFonts w:ascii="Bookman Old Style" w:eastAsia="Times New Roman" w:hAnsi="Bookman Old Style"/>
          <w:sz w:val="22"/>
          <w:szCs w:val="22"/>
        </w:rPr>
        <w:t xml:space="preserve">La norma </w:t>
      </w:r>
      <w:r w:rsidRPr="00C67937">
        <w:rPr>
          <w:rFonts w:ascii="Bookman Old Style" w:eastAsia="Times New Roman" w:hAnsi="Bookman Old Style"/>
          <w:sz w:val="22"/>
          <w:szCs w:val="22"/>
        </w:rPr>
        <w:t xml:space="preserve">prevede una serie di disposizioni in materia di reddito di cittadinanza di cui al </w:t>
      </w:r>
      <w:proofErr w:type="spellStart"/>
      <w:r w:rsidRPr="00C67937">
        <w:rPr>
          <w:rFonts w:ascii="Bookman Old Style" w:eastAsia="Times New Roman" w:hAnsi="Bookman Old Style"/>
          <w:sz w:val="22"/>
          <w:szCs w:val="22"/>
        </w:rPr>
        <w:t>decreto­legge</w:t>
      </w:r>
      <w:proofErr w:type="spellEnd"/>
      <w:r w:rsidRPr="00C67937">
        <w:rPr>
          <w:rFonts w:ascii="Bookman Old Style" w:eastAsia="Times New Roman" w:hAnsi="Bookman Old Style"/>
          <w:sz w:val="22"/>
          <w:szCs w:val="22"/>
        </w:rPr>
        <w:t xml:space="preserve"> 28 gennaio 2019, n. 4, convertito, con modificazioni, dalla legge 28 marzo 2019, n. 26.</w:t>
      </w:r>
    </w:p>
    <w:p w:rsidR="00F97B91" w:rsidRDefault="00F97B91" w:rsidP="00F97B91">
      <w:pPr>
        <w:jc w:val="both"/>
        <w:rPr>
          <w:rFonts w:ascii="Bookman Old Style" w:eastAsia="Times New Roman" w:hAnsi="Bookman Old Style"/>
          <w:b/>
          <w:bCs/>
          <w:sz w:val="22"/>
          <w:szCs w:val="22"/>
        </w:rPr>
      </w:pPr>
      <w:r>
        <w:rPr>
          <w:rFonts w:ascii="Bookman Old Style" w:eastAsia="Times New Roman" w:hAnsi="Bookman Old Style"/>
          <w:b/>
          <w:bCs/>
          <w:sz w:val="22"/>
          <w:szCs w:val="22"/>
        </w:rPr>
        <w:t xml:space="preserve">La norma </w:t>
      </w:r>
      <w:r w:rsidRPr="00C67937">
        <w:rPr>
          <w:rFonts w:ascii="Bookman Old Style" w:eastAsia="Times New Roman" w:hAnsi="Bookman Old Style"/>
          <w:b/>
          <w:bCs/>
          <w:sz w:val="22"/>
          <w:szCs w:val="22"/>
        </w:rPr>
        <w:t xml:space="preserve">prevede l'obbligo per i </w:t>
      </w:r>
      <w:r w:rsidR="00E37717">
        <w:rPr>
          <w:rFonts w:ascii="Bookman Old Style" w:eastAsia="Times New Roman" w:hAnsi="Bookman Old Style"/>
          <w:b/>
          <w:bCs/>
          <w:sz w:val="22"/>
          <w:szCs w:val="22"/>
        </w:rPr>
        <w:t>C</w:t>
      </w:r>
      <w:r w:rsidR="00E37717" w:rsidRPr="00C67937">
        <w:rPr>
          <w:rFonts w:ascii="Bookman Old Style" w:eastAsia="Times New Roman" w:hAnsi="Bookman Old Style"/>
          <w:b/>
          <w:bCs/>
          <w:sz w:val="22"/>
          <w:szCs w:val="22"/>
        </w:rPr>
        <w:t>omuni</w:t>
      </w:r>
      <w:r w:rsidRPr="00C67937">
        <w:rPr>
          <w:rFonts w:ascii="Bookman Old Style" w:eastAsia="Times New Roman" w:hAnsi="Bookman Old Style"/>
          <w:b/>
          <w:bCs/>
          <w:sz w:val="22"/>
          <w:szCs w:val="22"/>
        </w:rPr>
        <w:t xml:space="preserve">, nell'ambito dei PUC, di avvalersi di almeno un terzo dei beneficiari di </w:t>
      </w:r>
      <w:proofErr w:type="spellStart"/>
      <w:r w:rsidRPr="00C67937">
        <w:rPr>
          <w:rFonts w:ascii="Bookman Old Style" w:eastAsia="Times New Roman" w:hAnsi="Bookman Old Style"/>
          <w:b/>
          <w:bCs/>
          <w:sz w:val="22"/>
          <w:szCs w:val="22"/>
        </w:rPr>
        <w:t>RdC</w:t>
      </w:r>
      <w:proofErr w:type="spellEnd"/>
      <w:r w:rsidRPr="00C67937">
        <w:rPr>
          <w:rFonts w:ascii="Bookman Old Style" w:eastAsia="Times New Roman" w:hAnsi="Bookman Old Style"/>
          <w:b/>
          <w:bCs/>
          <w:sz w:val="22"/>
          <w:szCs w:val="22"/>
        </w:rPr>
        <w:t xml:space="preserve"> residenti</w:t>
      </w:r>
      <w:r w:rsidRPr="00C67937">
        <w:rPr>
          <w:rFonts w:ascii="Bookman Old Style" w:eastAsia="Times New Roman" w:hAnsi="Bookman Old Style"/>
          <w:sz w:val="22"/>
          <w:szCs w:val="22"/>
        </w:rPr>
        <w:t xml:space="preserve"> (attualmente sussiste solo l'obbligo da parte dei beneficiari di </w:t>
      </w:r>
      <w:proofErr w:type="spellStart"/>
      <w:r w:rsidRPr="00C67937">
        <w:rPr>
          <w:rFonts w:ascii="Bookman Old Style" w:eastAsia="Times New Roman" w:hAnsi="Bookman Old Style"/>
          <w:sz w:val="22"/>
          <w:szCs w:val="22"/>
        </w:rPr>
        <w:t>RdC</w:t>
      </w:r>
      <w:proofErr w:type="spellEnd"/>
      <w:r w:rsidRPr="00C67937">
        <w:rPr>
          <w:rFonts w:ascii="Bookman Old Style" w:eastAsia="Times New Roman" w:hAnsi="Bookman Old Style"/>
          <w:sz w:val="22"/>
          <w:szCs w:val="22"/>
        </w:rPr>
        <w:t xml:space="preserve"> a fornire la propria disponibilità a partecipare ai PUC). </w:t>
      </w:r>
      <w:r w:rsidRPr="00F94DBE">
        <w:rPr>
          <w:rFonts w:ascii="Bookman Old Style" w:eastAsia="Times New Roman" w:hAnsi="Bookman Old Style"/>
          <w:i/>
          <w:iCs/>
          <w:sz w:val="22"/>
          <w:szCs w:val="22"/>
        </w:rPr>
        <w:t xml:space="preserve">Si precisa che resta fermo che, in </w:t>
      </w:r>
      <w:r w:rsidRPr="008E30F7">
        <w:rPr>
          <w:rFonts w:ascii="Bookman Old Style" w:eastAsia="Times New Roman" w:hAnsi="Bookman Old Style"/>
          <w:i/>
          <w:iCs/>
          <w:sz w:val="22"/>
          <w:szCs w:val="22"/>
        </w:rPr>
        <w:t xml:space="preserve">caso di non adesione ai progetti da parte dei percettori di </w:t>
      </w:r>
      <w:proofErr w:type="spellStart"/>
      <w:r w:rsidRPr="008E30F7">
        <w:rPr>
          <w:rFonts w:ascii="Bookman Old Style" w:eastAsia="Times New Roman" w:hAnsi="Bookman Old Style"/>
          <w:i/>
          <w:iCs/>
          <w:sz w:val="22"/>
          <w:szCs w:val="22"/>
        </w:rPr>
        <w:t>RdC</w:t>
      </w:r>
      <w:proofErr w:type="spellEnd"/>
      <w:r w:rsidRPr="008E30F7">
        <w:rPr>
          <w:rFonts w:ascii="Bookman Old Style" w:eastAsia="Times New Roman" w:hAnsi="Bookman Old Style"/>
          <w:i/>
          <w:iCs/>
          <w:sz w:val="22"/>
          <w:szCs w:val="22"/>
        </w:rPr>
        <w:t xml:space="preserve">, è disposta la decadenza dal </w:t>
      </w:r>
      <w:r w:rsidRPr="00EB70AD">
        <w:rPr>
          <w:rFonts w:ascii="Bookman Old Style" w:eastAsia="Times New Roman" w:hAnsi="Bookman Old Style"/>
          <w:i/>
          <w:iCs/>
          <w:sz w:val="22"/>
          <w:szCs w:val="22"/>
        </w:rPr>
        <w:t xml:space="preserve">beneficio </w:t>
      </w:r>
      <w:r w:rsidRPr="00E3456B">
        <w:rPr>
          <w:rFonts w:ascii="Bookman Old Style" w:eastAsia="Times New Roman" w:hAnsi="Bookman Old Style"/>
          <w:i/>
          <w:iCs/>
          <w:sz w:val="22"/>
          <w:szCs w:val="22"/>
          <w:highlight w:val="cyan"/>
        </w:rPr>
        <w:t>(</w:t>
      </w:r>
      <w:r w:rsidRPr="00C67937">
        <w:rPr>
          <w:rFonts w:ascii="Bookman Old Style" w:eastAsia="Times New Roman" w:hAnsi="Bookman Old Style"/>
          <w:sz w:val="22"/>
          <w:szCs w:val="22"/>
        </w:rPr>
        <w:t xml:space="preserve">In particolare, </w:t>
      </w:r>
      <w:r>
        <w:rPr>
          <w:rFonts w:ascii="Bookman Old Style" w:eastAsia="Times New Roman" w:hAnsi="Bookman Old Style"/>
          <w:sz w:val="22"/>
          <w:szCs w:val="22"/>
        </w:rPr>
        <w:t xml:space="preserve">viene </w:t>
      </w:r>
      <w:r w:rsidRPr="00C67937">
        <w:rPr>
          <w:rFonts w:ascii="Bookman Old Style" w:eastAsia="Times New Roman" w:hAnsi="Bookman Old Style"/>
          <w:sz w:val="22"/>
          <w:szCs w:val="22"/>
        </w:rPr>
        <w:t>rafforza</w:t>
      </w:r>
      <w:r>
        <w:rPr>
          <w:rFonts w:ascii="Bookman Old Style" w:eastAsia="Times New Roman" w:hAnsi="Bookman Old Style"/>
          <w:sz w:val="22"/>
          <w:szCs w:val="22"/>
        </w:rPr>
        <w:t xml:space="preserve">to </w:t>
      </w:r>
      <w:r w:rsidRPr="00C67937">
        <w:rPr>
          <w:rFonts w:ascii="Bookman Old Style" w:eastAsia="Times New Roman" w:hAnsi="Bookman Old Style"/>
          <w:sz w:val="22"/>
          <w:szCs w:val="22"/>
        </w:rPr>
        <w:t xml:space="preserve">il sistema di "precompilazione" delle domande di </w:t>
      </w:r>
      <w:proofErr w:type="spellStart"/>
      <w:r w:rsidRPr="00C67937">
        <w:rPr>
          <w:rFonts w:ascii="Bookman Old Style" w:eastAsia="Times New Roman" w:hAnsi="Bookman Old Style"/>
          <w:sz w:val="22"/>
          <w:szCs w:val="22"/>
        </w:rPr>
        <w:t>RdC</w:t>
      </w:r>
      <w:proofErr w:type="spellEnd"/>
      <w:r w:rsidRPr="00C67937">
        <w:rPr>
          <w:rFonts w:ascii="Bookman Old Style" w:eastAsia="Times New Roman" w:hAnsi="Bookman Old Style"/>
          <w:sz w:val="22"/>
          <w:szCs w:val="22"/>
        </w:rPr>
        <w:t xml:space="preserve">, affinché siano automaticamente inseriti nelle stesse i dati già in possesso dell'Amministrazione (e quindi già verificati). L'obiettivo è inserire in modalità precompilata i dati dichiarati a fini ISBE e i dati già in possesso di INPS (Anagrafe tributaria, Anagrafe dei conti di gioco, del Catasto, del PRA, registro delle imbarcazioni da diporto etc... ). </w:t>
      </w:r>
      <w:r>
        <w:rPr>
          <w:rFonts w:ascii="Bookman Old Style" w:eastAsia="Times New Roman" w:hAnsi="Bookman Old Style"/>
          <w:sz w:val="22"/>
          <w:szCs w:val="22"/>
        </w:rPr>
        <w:t xml:space="preserve">Si </w:t>
      </w:r>
      <w:r w:rsidRPr="007028C4">
        <w:rPr>
          <w:rFonts w:ascii="Bookman Old Style" w:eastAsia="Times New Roman" w:hAnsi="Bookman Old Style"/>
          <w:b/>
          <w:bCs/>
          <w:sz w:val="22"/>
          <w:szCs w:val="22"/>
        </w:rPr>
        <w:t>prevede</w:t>
      </w:r>
      <w:r w:rsidRPr="00C67937">
        <w:rPr>
          <w:rFonts w:ascii="Bookman Old Style" w:eastAsia="Times New Roman" w:hAnsi="Bookman Old Style"/>
          <w:b/>
          <w:bCs/>
          <w:sz w:val="22"/>
          <w:szCs w:val="22"/>
        </w:rPr>
        <w:t xml:space="preserve"> che i </w:t>
      </w:r>
      <w:r>
        <w:rPr>
          <w:rFonts w:ascii="Bookman Old Style" w:eastAsia="Times New Roman" w:hAnsi="Bookman Old Style"/>
          <w:b/>
          <w:bCs/>
          <w:sz w:val="22"/>
          <w:szCs w:val="22"/>
        </w:rPr>
        <w:t>C</w:t>
      </w:r>
      <w:r w:rsidRPr="00C67937">
        <w:rPr>
          <w:rFonts w:ascii="Bookman Old Style" w:eastAsia="Times New Roman" w:hAnsi="Bookman Old Style"/>
          <w:b/>
          <w:bCs/>
          <w:sz w:val="22"/>
          <w:szCs w:val="22"/>
        </w:rPr>
        <w:t xml:space="preserve">omuni effettuino controlli a campione sui requisiti per il </w:t>
      </w:r>
      <w:proofErr w:type="spellStart"/>
      <w:r w:rsidRPr="00C67937">
        <w:rPr>
          <w:rFonts w:ascii="Bookman Old Style" w:eastAsia="Times New Roman" w:hAnsi="Bookman Old Style"/>
          <w:b/>
          <w:bCs/>
          <w:sz w:val="22"/>
          <w:szCs w:val="22"/>
        </w:rPr>
        <w:t>Rdc</w:t>
      </w:r>
      <w:proofErr w:type="spellEnd"/>
      <w:r w:rsidRPr="00C67937">
        <w:rPr>
          <w:rFonts w:ascii="Bookman Old Style" w:eastAsia="Times New Roman" w:hAnsi="Bookman Old Style"/>
          <w:b/>
          <w:bCs/>
          <w:sz w:val="22"/>
          <w:szCs w:val="22"/>
        </w:rPr>
        <w:t xml:space="preserve"> dei nuclei familiari</w:t>
      </w:r>
      <w:r w:rsidRPr="00C67937">
        <w:rPr>
          <w:rFonts w:ascii="Bookman Old Style" w:eastAsia="Times New Roman" w:hAnsi="Bookman Old Style"/>
          <w:sz w:val="22"/>
          <w:szCs w:val="22"/>
        </w:rPr>
        <w:t xml:space="preserve">, sia al momento della presentazione della domanda, sia dopo l'erogazione del beneficio (per verificare la permanenza di quei requisiti). La disposizione è tesa ad un maggior controllo anche da parte dei Comuni sulla sussistenza dei requisiti per la prestazione. </w:t>
      </w:r>
      <w:r w:rsidRPr="00C67937">
        <w:rPr>
          <w:rFonts w:ascii="Bookman Old Style" w:eastAsia="Times New Roman" w:hAnsi="Bookman Old Style"/>
          <w:b/>
          <w:bCs/>
          <w:sz w:val="22"/>
          <w:szCs w:val="22"/>
        </w:rPr>
        <w:t>Sia al momento sia dopo l’erogazione del beneficio</w:t>
      </w:r>
      <w:r w:rsidR="00B82406">
        <w:rPr>
          <w:rFonts w:ascii="Bookman Old Style" w:eastAsia="Times New Roman" w:hAnsi="Bookman Old Style"/>
          <w:b/>
          <w:bCs/>
          <w:sz w:val="22"/>
          <w:szCs w:val="22"/>
        </w:rPr>
        <w:t>,</w:t>
      </w:r>
      <w:r w:rsidRPr="00C67937">
        <w:rPr>
          <w:rFonts w:ascii="Bookman Old Style" w:eastAsia="Times New Roman" w:hAnsi="Bookman Old Style"/>
          <w:b/>
          <w:bCs/>
          <w:sz w:val="22"/>
          <w:szCs w:val="22"/>
        </w:rPr>
        <w:t xml:space="preserve"> si segnala che risponde di danno erariale il RUP del Comune</w:t>
      </w:r>
      <w:r w:rsidR="00B82406">
        <w:rPr>
          <w:rFonts w:ascii="Bookman Old Style" w:eastAsia="Times New Roman" w:hAnsi="Bookman Old Style"/>
          <w:b/>
          <w:bCs/>
          <w:sz w:val="22"/>
          <w:szCs w:val="22"/>
        </w:rPr>
        <w:t xml:space="preserve"> </w:t>
      </w:r>
      <w:r w:rsidRPr="00C67937">
        <w:rPr>
          <w:rFonts w:ascii="Bookman Old Style" w:eastAsia="Times New Roman" w:hAnsi="Bookman Old Style"/>
          <w:b/>
          <w:bCs/>
          <w:sz w:val="22"/>
          <w:szCs w:val="22"/>
        </w:rPr>
        <w:t xml:space="preserve">che non esercita il potere di controllo sui dati anagrafici e non li comunica. </w:t>
      </w:r>
    </w:p>
    <w:p w:rsidR="00281AC5" w:rsidRDefault="00281AC5" w:rsidP="00F97B91">
      <w:pPr>
        <w:jc w:val="both"/>
        <w:rPr>
          <w:rFonts w:ascii="Bookman Old Style" w:eastAsia="Times New Roman" w:hAnsi="Bookman Old Style"/>
          <w:b/>
          <w:bCs/>
          <w:sz w:val="22"/>
          <w:szCs w:val="22"/>
        </w:rPr>
      </w:pPr>
    </w:p>
    <w:p w:rsidR="00281AC5" w:rsidRPr="00950095" w:rsidRDefault="00281AC5" w:rsidP="00950095">
      <w:pPr>
        <w:pStyle w:val="Paragrafoelenco"/>
        <w:keepNext/>
        <w:widowControl/>
        <w:numPr>
          <w:ilvl w:val="0"/>
          <w:numId w:val="15"/>
        </w:numPr>
        <w:spacing w:line="240" w:lineRule="auto"/>
        <w:ind w:left="714" w:hanging="357"/>
        <w:jc w:val="both"/>
        <w:rPr>
          <w:rFonts w:ascii="Bookman Old Style" w:hAnsi="Bookman Old Style"/>
          <w:b/>
          <w:bCs/>
          <w:color w:val="FF0000"/>
        </w:rPr>
      </w:pPr>
      <w:r w:rsidRPr="00950095">
        <w:rPr>
          <w:rFonts w:ascii="Bookman Old Style" w:hAnsi="Bookman Old Style"/>
          <w:b/>
          <w:bCs/>
          <w:color w:val="FF0000"/>
        </w:rPr>
        <w:t>Livelli essenziali delle prestazioni sociali per la non autosufficienza (art. 1, commi 159-171)</w:t>
      </w:r>
    </w:p>
    <w:p w:rsidR="00281AC5" w:rsidRDefault="00281AC5" w:rsidP="00281AC5">
      <w:pPr>
        <w:jc w:val="both"/>
        <w:rPr>
          <w:rFonts w:ascii="Bookman Old Style" w:eastAsia="Times New Roman" w:hAnsi="Bookman Old Style"/>
          <w:sz w:val="22"/>
          <w:szCs w:val="22"/>
        </w:rPr>
      </w:pPr>
      <w:r w:rsidRPr="000A4E63">
        <w:rPr>
          <w:rFonts w:ascii="Bookman Old Style" w:eastAsia="Times New Roman" w:hAnsi="Bookman Old Style"/>
          <w:sz w:val="22"/>
          <w:szCs w:val="22"/>
        </w:rPr>
        <w:t xml:space="preserve">La norma definisce il contenuto dei livelli essenziali delle prestazioni sociali, e qualifica gli ambiti territoriali sociali (ATS) quale sede necessaria in cui programmare, coordinare, realizzare e gestire gli interventi, i servizi e le attività utili al raggiungimento dei LEPS nonché a garantire la programmazione, il coordinamento e la realizzazione dell’offerta integrata dei LEPS sul territorio. L’attuazione degli interventi e l’adozione dei necessari atti di programmazione integrata sono demandate a linee guida definite </w:t>
      </w:r>
      <w:r w:rsidR="00E37717" w:rsidRPr="000A4E63">
        <w:rPr>
          <w:rFonts w:ascii="Bookman Old Style" w:eastAsia="Times New Roman" w:hAnsi="Bookman Old Style"/>
          <w:sz w:val="22"/>
          <w:szCs w:val="22"/>
        </w:rPr>
        <w:t xml:space="preserve">con </w:t>
      </w:r>
      <w:r w:rsidR="00E37717">
        <w:rPr>
          <w:rFonts w:ascii="Bookman Old Style" w:eastAsia="Times New Roman" w:hAnsi="Bookman Old Style"/>
          <w:sz w:val="22"/>
          <w:szCs w:val="22"/>
        </w:rPr>
        <w:t>i</w:t>
      </w:r>
      <w:r w:rsidR="00E37717" w:rsidRPr="000A4E63">
        <w:rPr>
          <w:rFonts w:ascii="Bookman Old Style" w:eastAsia="Times New Roman" w:hAnsi="Bookman Old Style"/>
          <w:sz w:val="22"/>
          <w:szCs w:val="22"/>
        </w:rPr>
        <w:t xml:space="preserve">ntesa </w:t>
      </w:r>
      <w:r w:rsidRPr="000A4E63">
        <w:rPr>
          <w:rFonts w:ascii="Bookman Old Style" w:eastAsia="Times New Roman" w:hAnsi="Bookman Old Style"/>
          <w:sz w:val="22"/>
          <w:szCs w:val="22"/>
        </w:rPr>
        <w:t>in sede di Conferenza Unificata.</w:t>
      </w:r>
    </w:p>
    <w:p w:rsidR="00281AC5" w:rsidRPr="000A4E63" w:rsidRDefault="00281AC5" w:rsidP="00281AC5">
      <w:pPr>
        <w:keepNext/>
        <w:rPr>
          <w:rFonts w:ascii="Bookman Old Style" w:eastAsia="Times New Roman" w:hAnsi="Bookman Old Style"/>
          <w:sz w:val="22"/>
          <w:szCs w:val="22"/>
        </w:rPr>
      </w:pPr>
    </w:p>
    <w:p w:rsidR="00281AC5" w:rsidRPr="00C67937" w:rsidRDefault="00281AC5" w:rsidP="00F97B91">
      <w:pPr>
        <w:jc w:val="both"/>
        <w:rPr>
          <w:rFonts w:ascii="Bookman Old Style" w:eastAsia="Times New Roman" w:hAnsi="Bookman Old Style"/>
          <w:b/>
          <w:bCs/>
          <w:sz w:val="22"/>
          <w:szCs w:val="22"/>
        </w:rPr>
      </w:pPr>
    </w:p>
    <w:p w:rsidR="00281AC5" w:rsidRPr="00950095" w:rsidRDefault="00281AC5" w:rsidP="00950095">
      <w:pPr>
        <w:pStyle w:val="Paragrafoelenco"/>
        <w:keepNext/>
        <w:widowControl/>
        <w:numPr>
          <w:ilvl w:val="0"/>
          <w:numId w:val="15"/>
        </w:numPr>
        <w:spacing w:line="240" w:lineRule="auto"/>
        <w:ind w:left="714" w:hanging="357"/>
        <w:jc w:val="both"/>
        <w:rPr>
          <w:rFonts w:ascii="Bookman Old Style" w:hAnsi="Bookman Old Style"/>
          <w:b/>
          <w:bCs/>
          <w:color w:val="FF0000"/>
        </w:rPr>
      </w:pPr>
      <w:r w:rsidRPr="00950095">
        <w:rPr>
          <w:rFonts w:ascii="Bookman Old Style" w:hAnsi="Bookman Old Style"/>
          <w:b/>
          <w:bCs/>
          <w:color w:val="FF0000"/>
        </w:rPr>
        <w:t>Risorse correnti ai Comuni per i servizi educativi per l’infanzia (art. 1, commi 172-173)</w:t>
      </w:r>
    </w:p>
    <w:p w:rsidR="00281AC5" w:rsidRPr="000A4E63" w:rsidRDefault="00281AC5" w:rsidP="00281AC5">
      <w:pPr>
        <w:jc w:val="both"/>
        <w:rPr>
          <w:rFonts w:ascii="Bookman Old Style" w:eastAsia="Times New Roman" w:hAnsi="Bookman Old Style"/>
          <w:sz w:val="22"/>
          <w:szCs w:val="22"/>
        </w:rPr>
      </w:pPr>
      <w:r w:rsidRPr="000A4E63">
        <w:rPr>
          <w:rFonts w:ascii="Bookman Old Style" w:eastAsia="Times New Roman" w:hAnsi="Bookman Old Style"/>
          <w:sz w:val="22"/>
          <w:szCs w:val="22"/>
        </w:rPr>
        <w:t xml:space="preserve">Si dispone l’incremento delle risorse aggiuntive da ripartire nell’ambito del FSC a </w:t>
      </w:r>
      <w:r w:rsidRPr="000A4E63">
        <w:rPr>
          <w:rFonts w:ascii="Bookman Old Style" w:eastAsia="Times New Roman" w:hAnsi="Bookman Old Style"/>
          <w:b/>
          <w:bCs/>
          <w:sz w:val="22"/>
          <w:szCs w:val="22"/>
        </w:rPr>
        <w:t>titolo di rafforzamento del servizio Asili nido, con l’obiettivo di raggiungere entro il 2027 un grado di copertura del servizio, compresa la quota fornita attraverso strutture private, pari al 33% della popolazione in età 0-</w:t>
      </w:r>
      <w:r w:rsidR="00B82406">
        <w:rPr>
          <w:rFonts w:ascii="Bookman Old Style" w:eastAsia="Times New Roman" w:hAnsi="Bookman Old Style"/>
          <w:b/>
          <w:bCs/>
          <w:sz w:val="22"/>
          <w:szCs w:val="22"/>
        </w:rPr>
        <w:t>2</w:t>
      </w:r>
      <w:r w:rsidR="00B82406" w:rsidRPr="000A4E63">
        <w:rPr>
          <w:rFonts w:ascii="Bookman Old Style" w:eastAsia="Times New Roman" w:hAnsi="Bookman Old Style"/>
          <w:b/>
          <w:bCs/>
          <w:sz w:val="22"/>
          <w:szCs w:val="22"/>
        </w:rPr>
        <w:t xml:space="preserve"> </w:t>
      </w:r>
      <w:r w:rsidRPr="000A4E63">
        <w:rPr>
          <w:rFonts w:ascii="Bookman Old Style" w:eastAsia="Times New Roman" w:hAnsi="Bookman Old Style"/>
          <w:b/>
          <w:bCs/>
          <w:sz w:val="22"/>
          <w:szCs w:val="22"/>
        </w:rPr>
        <w:t>anni</w:t>
      </w:r>
      <w:r w:rsidRPr="000A4E63">
        <w:rPr>
          <w:rFonts w:ascii="Bookman Old Style" w:eastAsia="Times New Roman" w:hAnsi="Bookman Old Style"/>
          <w:sz w:val="22"/>
          <w:szCs w:val="22"/>
        </w:rPr>
        <w:t xml:space="preserve">. Le risorse assegnate ammontano a 120 milioni di euro per il 2022, per poi crescere annualmente fino a </w:t>
      </w:r>
      <w:r w:rsidRPr="00E3456B">
        <w:rPr>
          <w:rFonts w:ascii="Bookman Old Style" w:eastAsia="Times New Roman" w:hAnsi="Bookman Old Style"/>
          <w:b/>
          <w:bCs/>
          <w:sz w:val="22"/>
          <w:szCs w:val="22"/>
        </w:rPr>
        <w:t>450 milioni per il 2026 e a 1.100 milioni di euro a decorrere dal 2027</w:t>
      </w:r>
      <w:r w:rsidRPr="000A4E63">
        <w:rPr>
          <w:rFonts w:ascii="Bookman Old Style" w:eastAsia="Times New Roman" w:hAnsi="Bookman Old Style"/>
          <w:sz w:val="22"/>
          <w:szCs w:val="22"/>
        </w:rPr>
        <w:t>.</w:t>
      </w:r>
    </w:p>
    <w:p w:rsidR="00281AC5" w:rsidRPr="000A4E63" w:rsidRDefault="00281AC5" w:rsidP="00281AC5">
      <w:pPr>
        <w:jc w:val="both"/>
        <w:rPr>
          <w:rFonts w:ascii="Bookman Old Style" w:eastAsia="Times New Roman" w:hAnsi="Bookman Old Style"/>
          <w:sz w:val="22"/>
          <w:szCs w:val="22"/>
        </w:rPr>
      </w:pPr>
      <w:r w:rsidRPr="000A4E63">
        <w:rPr>
          <w:rFonts w:ascii="Bookman Old Style" w:eastAsia="Times New Roman" w:hAnsi="Bookman Old Style"/>
          <w:sz w:val="22"/>
          <w:szCs w:val="22"/>
        </w:rPr>
        <w:t xml:space="preserve">Viene così ulteriormente potenziato il dispositivo già introdotto dalla legge di bilancio per il 2021, anche in connessione con il massiccio intervento di carattere infrastrutturale in corso di attivazione con il PNRR. </w:t>
      </w:r>
    </w:p>
    <w:p w:rsidR="00281AC5" w:rsidRPr="000A4E63" w:rsidRDefault="00281AC5" w:rsidP="00281AC5">
      <w:pPr>
        <w:jc w:val="both"/>
        <w:rPr>
          <w:rFonts w:ascii="Bookman Old Style" w:eastAsia="Times New Roman" w:hAnsi="Bookman Old Style"/>
          <w:sz w:val="22"/>
          <w:szCs w:val="22"/>
        </w:rPr>
      </w:pPr>
      <w:r w:rsidRPr="000A4E63">
        <w:rPr>
          <w:rFonts w:ascii="Bookman Old Style" w:eastAsia="Times New Roman" w:hAnsi="Bookman Old Style"/>
          <w:sz w:val="22"/>
          <w:szCs w:val="22"/>
        </w:rPr>
        <w:t>La norma dispone inoltre l’esclusione del servizio asilo nido dagli obblighi di copertura minima dei costi del servizio in caso di “</w:t>
      </w:r>
      <w:proofErr w:type="spellStart"/>
      <w:r w:rsidRPr="000A4E63">
        <w:rPr>
          <w:rFonts w:ascii="Bookman Old Style" w:eastAsia="Times New Roman" w:hAnsi="Bookman Old Style"/>
          <w:sz w:val="22"/>
          <w:szCs w:val="22"/>
        </w:rPr>
        <w:t>deficitarietà</w:t>
      </w:r>
      <w:proofErr w:type="spellEnd"/>
      <w:r w:rsidRPr="000A4E63">
        <w:rPr>
          <w:rFonts w:ascii="Bookman Old Style" w:eastAsia="Times New Roman" w:hAnsi="Bookman Old Style"/>
          <w:sz w:val="22"/>
          <w:szCs w:val="22"/>
        </w:rPr>
        <w:t xml:space="preserve"> strutturale” (</w:t>
      </w:r>
      <w:r w:rsidRPr="00E3456B">
        <w:rPr>
          <w:rFonts w:ascii="Bookman Old Style" w:eastAsia="Times New Roman" w:hAnsi="Bookman Old Style"/>
          <w:i/>
          <w:iCs/>
          <w:sz w:val="22"/>
          <w:szCs w:val="22"/>
        </w:rPr>
        <w:t>ex</w:t>
      </w:r>
      <w:r w:rsidRPr="000A4E63">
        <w:rPr>
          <w:rFonts w:ascii="Bookman Old Style" w:eastAsia="Times New Roman" w:hAnsi="Bookman Old Style"/>
          <w:sz w:val="22"/>
          <w:szCs w:val="22"/>
        </w:rPr>
        <w:t xml:space="preserve"> art. 243 TUEL)</w:t>
      </w:r>
    </w:p>
    <w:p w:rsidR="00281AC5" w:rsidRPr="000A4E63" w:rsidRDefault="00281AC5" w:rsidP="00281AC5">
      <w:pPr>
        <w:keepNext/>
        <w:jc w:val="center"/>
        <w:rPr>
          <w:rFonts w:ascii="Bookman Old Style" w:hAnsi="Bookman Old Style" w:cs="TimesNewRomanPS-BoldItalicMT"/>
          <w:b/>
          <w:bCs/>
          <w:i/>
          <w:iCs/>
          <w:sz w:val="22"/>
          <w:szCs w:val="22"/>
        </w:rPr>
      </w:pPr>
    </w:p>
    <w:p w:rsidR="00281AC5" w:rsidRPr="00950095" w:rsidRDefault="00281AC5" w:rsidP="00950095">
      <w:pPr>
        <w:pStyle w:val="Paragrafoelenco"/>
        <w:keepNext/>
        <w:widowControl/>
        <w:numPr>
          <w:ilvl w:val="0"/>
          <w:numId w:val="15"/>
        </w:numPr>
        <w:spacing w:line="240" w:lineRule="auto"/>
        <w:ind w:left="714" w:hanging="357"/>
        <w:jc w:val="both"/>
        <w:rPr>
          <w:rFonts w:ascii="Bookman Old Style" w:hAnsi="Bookman Old Style"/>
          <w:b/>
          <w:bCs/>
          <w:color w:val="FF0000"/>
        </w:rPr>
      </w:pPr>
      <w:r w:rsidRPr="00950095">
        <w:rPr>
          <w:rFonts w:ascii="Bookman Old Style" w:hAnsi="Bookman Old Style"/>
          <w:b/>
          <w:bCs/>
          <w:color w:val="FF0000"/>
        </w:rPr>
        <w:t>Risorse correnti ai Comuni in materia di trasporto scolastico di studenti disabili (art. 1, comma 174)</w:t>
      </w:r>
    </w:p>
    <w:p w:rsidR="00281AC5" w:rsidRPr="000A4E63" w:rsidRDefault="00281AC5" w:rsidP="00281AC5">
      <w:pPr>
        <w:jc w:val="both"/>
        <w:rPr>
          <w:rFonts w:ascii="Bookman Old Style" w:eastAsia="Times New Roman" w:hAnsi="Bookman Old Style"/>
          <w:sz w:val="22"/>
          <w:szCs w:val="22"/>
        </w:rPr>
      </w:pPr>
      <w:r w:rsidRPr="000A4E63">
        <w:rPr>
          <w:rFonts w:ascii="Bookman Old Style" w:eastAsia="Times New Roman" w:hAnsi="Bookman Old Style"/>
          <w:sz w:val="22"/>
          <w:szCs w:val="22"/>
        </w:rPr>
        <w:t>Viene incrementat</w:t>
      </w:r>
      <w:r w:rsidR="00B82406">
        <w:rPr>
          <w:rFonts w:ascii="Bookman Old Style" w:eastAsia="Times New Roman" w:hAnsi="Bookman Old Style"/>
          <w:sz w:val="22"/>
          <w:szCs w:val="22"/>
        </w:rPr>
        <w:t>o il Fondo di solidarietà comunale</w:t>
      </w:r>
      <w:r w:rsidRPr="000A4E63">
        <w:rPr>
          <w:rFonts w:ascii="Bookman Old Style" w:eastAsia="Times New Roman" w:hAnsi="Bookman Old Style"/>
          <w:sz w:val="22"/>
          <w:szCs w:val="22"/>
        </w:rPr>
        <w:t xml:space="preserve"> di </w:t>
      </w:r>
      <w:r w:rsidRPr="000A4E63">
        <w:rPr>
          <w:rFonts w:ascii="Bookman Old Style" w:eastAsia="Times New Roman" w:hAnsi="Bookman Old Style"/>
          <w:b/>
          <w:bCs/>
          <w:sz w:val="22"/>
          <w:szCs w:val="22"/>
        </w:rPr>
        <w:t>30 milioni di euro per l’anno 2022</w:t>
      </w:r>
      <w:r w:rsidRPr="000A4E63">
        <w:rPr>
          <w:rFonts w:ascii="Bookman Old Style" w:eastAsia="Times New Roman" w:hAnsi="Bookman Old Style"/>
          <w:sz w:val="22"/>
          <w:szCs w:val="22"/>
        </w:rPr>
        <w:t xml:space="preserve">, </w:t>
      </w:r>
      <w:r w:rsidRPr="000A4E63">
        <w:rPr>
          <w:rFonts w:ascii="Bookman Old Style" w:eastAsia="Times New Roman" w:hAnsi="Bookman Old Style"/>
          <w:b/>
          <w:bCs/>
          <w:sz w:val="22"/>
          <w:szCs w:val="22"/>
        </w:rPr>
        <w:t>50 milioni di euro per l’anno 2023 e 80 milioni di euro per l’anno 2024, 100 milioni di euro e 120 milioni a decorrere dall’anno 2027</w:t>
      </w:r>
      <w:r w:rsidR="00B82406">
        <w:rPr>
          <w:rFonts w:ascii="Bookman Old Style" w:eastAsia="Times New Roman" w:hAnsi="Bookman Old Style"/>
          <w:sz w:val="22"/>
          <w:szCs w:val="22"/>
        </w:rPr>
        <w:t xml:space="preserve">, con l’istituzione di una quota </w:t>
      </w:r>
      <w:r w:rsidRPr="000A4E63">
        <w:rPr>
          <w:rFonts w:ascii="Bookman Old Style" w:eastAsia="Times New Roman" w:hAnsi="Bookman Old Style"/>
          <w:sz w:val="22"/>
          <w:szCs w:val="22"/>
        </w:rPr>
        <w:t xml:space="preserve">destinata a </w:t>
      </w:r>
      <w:r w:rsidR="007028C4">
        <w:rPr>
          <w:rFonts w:ascii="Bookman Old Style" w:eastAsia="Times New Roman" w:hAnsi="Bookman Old Style"/>
          <w:sz w:val="22"/>
          <w:szCs w:val="22"/>
        </w:rPr>
        <w:t xml:space="preserve">finanziare </w:t>
      </w:r>
      <w:r w:rsidRPr="000A4E63">
        <w:rPr>
          <w:rFonts w:ascii="Bookman Old Style" w:eastAsia="Times New Roman" w:hAnsi="Bookman Old Style"/>
          <w:sz w:val="22"/>
          <w:szCs w:val="22"/>
        </w:rPr>
        <w:t xml:space="preserve">i livelli essenziali di prestazione (LEP) per </w:t>
      </w:r>
      <w:r w:rsidR="007028C4">
        <w:rPr>
          <w:rFonts w:ascii="Bookman Old Style" w:eastAsia="Times New Roman" w:hAnsi="Bookman Old Style"/>
          <w:sz w:val="22"/>
          <w:szCs w:val="22"/>
        </w:rPr>
        <w:t xml:space="preserve">il trasporto scolastico degli </w:t>
      </w:r>
      <w:r w:rsidRPr="000A4E63">
        <w:rPr>
          <w:rFonts w:ascii="Bookman Old Style" w:eastAsia="Times New Roman" w:hAnsi="Bookman Old Style"/>
          <w:sz w:val="22"/>
          <w:szCs w:val="22"/>
        </w:rPr>
        <w:t>studenti disabili frequentanti la scuola dell'infanzia, primaria e secondaria di 1° grado</w:t>
      </w:r>
      <w:r>
        <w:rPr>
          <w:rFonts w:ascii="Bookman Old Style" w:eastAsia="Times New Roman" w:hAnsi="Bookman Old Style"/>
          <w:sz w:val="22"/>
          <w:szCs w:val="22"/>
        </w:rPr>
        <w:t>.</w:t>
      </w:r>
    </w:p>
    <w:p w:rsidR="00281AC5" w:rsidRPr="000A4E63" w:rsidRDefault="00281AC5" w:rsidP="00281AC5">
      <w:pPr>
        <w:ind w:left="708"/>
        <w:jc w:val="both"/>
        <w:rPr>
          <w:rFonts w:ascii="Bookman Old Style" w:eastAsia="Times New Roman" w:hAnsi="Bookman Old Style"/>
          <w:sz w:val="22"/>
          <w:szCs w:val="22"/>
        </w:rPr>
      </w:pPr>
    </w:p>
    <w:p w:rsidR="00281AC5" w:rsidRPr="00950095" w:rsidRDefault="00281AC5" w:rsidP="00950095">
      <w:pPr>
        <w:pStyle w:val="Paragrafoelenco"/>
        <w:keepNext/>
        <w:widowControl/>
        <w:numPr>
          <w:ilvl w:val="0"/>
          <w:numId w:val="15"/>
        </w:numPr>
        <w:spacing w:line="240" w:lineRule="auto"/>
        <w:ind w:left="714" w:hanging="357"/>
        <w:jc w:val="both"/>
        <w:rPr>
          <w:rFonts w:ascii="Bookman Old Style" w:hAnsi="Bookman Old Style"/>
          <w:b/>
          <w:bCs/>
          <w:color w:val="FF0000"/>
        </w:rPr>
      </w:pPr>
      <w:r w:rsidRPr="00950095">
        <w:rPr>
          <w:rFonts w:ascii="Bookman Old Style" w:hAnsi="Bookman Old Style"/>
          <w:b/>
          <w:bCs/>
          <w:color w:val="FF0000"/>
        </w:rPr>
        <w:t>Fondo per le politiche in favore delle persone con disabilità (art. 1, comma 178)</w:t>
      </w:r>
    </w:p>
    <w:p w:rsidR="00281AC5" w:rsidRPr="000A4E63" w:rsidRDefault="00281AC5" w:rsidP="00281AC5">
      <w:pPr>
        <w:jc w:val="both"/>
        <w:rPr>
          <w:rFonts w:ascii="Bookman Old Style" w:eastAsia="Times New Roman" w:hAnsi="Bookman Old Style"/>
          <w:b/>
          <w:bCs/>
          <w:sz w:val="22"/>
          <w:szCs w:val="22"/>
        </w:rPr>
      </w:pPr>
      <w:r w:rsidRPr="000A4E63">
        <w:rPr>
          <w:rFonts w:ascii="Bookman Old Style" w:eastAsia="Times New Roman" w:hAnsi="Bookman Old Style"/>
          <w:sz w:val="22"/>
          <w:szCs w:val="22"/>
        </w:rPr>
        <w:t xml:space="preserve">Il fondo per la disabilità e non autosufficienza viene ridenominato "Fondo per le politiche in favore delle persone con disabilità” e viene incrementato di </w:t>
      </w:r>
      <w:r w:rsidRPr="000A4E63">
        <w:rPr>
          <w:rFonts w:ascii="Bookman Old Style" w:eastAsia="Times New Roman" w:hAnsi="Bookman Old Style"/>
          <w:b/>
          <w:bCs/>
          <w:sz w:val="22"/>
          <w:szCs w:val="22"/>
        </w:rPr>
        <w:t>50 milioni di euro</w:t>
      </w:r>
      <w:r w:rsidRPr="000A4E63">
        <w:rPr>
          <w:rFonts w:ascii="Bookman Old Style" w:eastAsia="Times New Roman" w:hAnsi="Bookman Old Style"/>
          <w:sz w:val="22"/>
          <w:szCs w:val="22"/>
        </w:rPr>
        <w:t xml:space="preserve"> </w:t>
      </w:r>
      <w:r w:rsidRPr="000A4E63">
        <w:rPr>
          <w:rFonts w:ascii="Bookman Old Style" w:eastAsia="Times New Roman" w:hAnsi="Bookman Old Style"/>
          <w:b/>
          <w:bCs/>
          <w:sz w:val="22"/>
          <w:szCs w:val="22"/>
        </w:rPr>
        <w:t>dall’anno 2023 all’anno 2026.</w:t>
      </w:r>
    </w:p>
    <w:p w:rsidR="00281AC5" w:rsidRPr="000A4E63" w:rsidRDefault="00281AC5" w:rsidP="00281AC5">
      <w:pPr>
        <w:keepNext/>
        <w:jc w:val="center"/>
        <w:rPr>
          <w:rFonts w:ascii="Bookman Old Style" w:eastAsia="Times New Roman" w:hAnsi="Bookman Old Style" w:cs="Times New Roman"/>
          <w:b/>
          <w:bCs/>
          <w:color w:val="002060"/>
          <w:sz w:val="22"/>
          <w:szCs w:val="22"/>
        </w:rPr>
      </w:pPr>
    </w:p>
    <w:p w:rsidR="00281AC5" w:rsidRPr="00950095" w:rsidRDefault="00281AC5" w:rsidP="00950095">
      <w:pPr>
        <w:pStyle w:val="Paragrafoelenco"/>
        <w:keepNext/>
        <w:widowControl/>
        <w:numPr>
          <w:ilvl w:val="0"/>
          <w:numId w:val="15"/>
        </w:numPr>
        <w:spacing w:line="240" w:lineRule="auto"/>
        <w:ind w:left="714" w:hanging="357"/>
        <w:jc w:val="both"/>
        <w:rPr>
          <w:rFonts w:ascii="Bookman Old Style" w:hAnsi="Bookman Old Style"/>
          <w:b/>
          <w:bCs/>
          <w:color w:val="FF0000"/>
        </w:rPr>
      </w:pPr>
      <w:r w:rsidRPr="00950095">
        <w:rPr>
          <w:rFonts w:ascii="Bookman Old Style" w:hAnsi="Bookman Old Style"/>
          <w:b/>
          <w:bCs/>
          <w:color w:val="FF0000"/>
        </w:rPr>
        <w:t>Fondo per l'assistenza all'autonomia e alla comunicazione per gli alunni con disabilità (art. 1, commi 179-182)</w:t>
      </w:r>
    </w:p>
    <w:p w:rsidR="007028C4" w:rsidRDefault="00281AC5" w:rsidP="00281AC5">
      <w:pPr>
        <w:keepNext/>
        <w:jc w:val="both"/>
        <w:rPr>
          <w:rFonts w:ascii="Bookman Old Style" w:hAnsi="Bookman Old Style"/>
          <w:b/>
          <w:bCs/>
          <w:sz w:val="22"/>
          <w:szCs w:val="22"/>
        </w:rPr>
      </w:pPr>
      <w:r w:rsidRPr="000A4E63">
        <w:rPr>
          <w:rFonts w:ascii="Bookman Old Style" w:eastAsia="Times New Roman" w:hAnsi="Bookman Old Style"/>
          <w:sz w:val="22"/>
          <w:szCs w:val="22"/>
        </w:rPr>
        <w:t>Per il potenziamento dei servizi di assistenza alla autonomia e alla comunicazione per gli alunni con disabilità della scuola dell’infanzia, della scuola primaria, e della scuola secondaria di primo e secondo grado, viene istituito il “</w:t>
      </w:r>
      <w:r w:rsidRPr="000A4E63">
        <w:rPr>
          <w:rFonts w:ascii="Bookman Old Style" w:eastAsia="Times New Roman" w:hAnsi="Bookman Old Style"/>
          <w:b/>
          <w:bCs/>
          <w:sz w:val="22"/>
          <w:szCs w:val="22"/>
        </w:rPr>
        <w:t>fondo per l'assistenza all'autonomia e alla comunicazione per gli alunni con disabilità</w:t>
      </w:r>
      <w:r w:rsidRPr="000A4E63">
        <w:rPr>
          <w:rFonts w:ascii="Bookman Old Style" w:eastAsia="Times New Roman" w:hAnsi="Bookman Old Style"/>
          <w:sz w:val="22"/>
          <w:szCs w:val="22"/>
        </w:rPr>
        <w:t>” con una dotazione d</w:t>
      </w:r>
      <w:r w:rsidRPr="000A4E63">
        <w:rPr>
          <w:rFonts w:ascii="Bookman Old Style" w:hAnsi="Bookman Old Style"/>
          <w:sz w:val="22"/>
          <w:szCs w:val="22"/>
        </w:rPr>
        <w:t>i</w:t>
      </w:r>
      <w:r w:rsidRPr="000A4E63">
        <w:rPr>
          <w:rFonts w:ascii="Bookman Old Style" w:hAnsi="Bookman Old Style"/>
          <w:b/>
          <w:bCs/>
          <w:sz w:val="22"/>
          <w:szCs w:val="22"/>
        </w:rPr>
        <w:t xml:space="preserve"> 100 milioni di euro a decorrere dal 2022. </w:t>
      </w:r>
    </w:p>
    <w:p w:rsidR="00281AC5" w:rsidRPr="00E747E8" w:rsidRDefault="00281AC5" w:rsidP="00281AC5">
      <w:pPr>
        <w:keepNext/>
        <w:jc w:val="both"/>
        <w:rPr>
          <w:rFonts w:ascii="Bookman Old Style" w:eastAsia="Times New Roman" w:hAnsi="Bookman Old Style"/>
          <w:sz w:val="22"/>
          <w:szCs w:val="22"/>
        </w:rPr>
      </w:pPr>
      <w:r w:rsidRPr="00E747E8">
        <w:rPr>
          <w:rFonts w:ascii="Bookman Old Style" w:eastAsia="Times New Roman" w:hAnsi="Bookman Old Style"/>
          <w:b/>
          <w:bCs/>
          <w:sz w:val="22"/>
          <w:szCs w:val="22"/>
        </w:rPr>
        <w:t>Il fondo è ripartito per la quota parte di 70 milioni in favore degli enti territoriali</w:t>
      </w:r>
      <w:r w:rsidRPr="00E747E8">
        <w:rPr>
          <w:rFonts w:ascii="Bookman Old Style" w:eastAsia="Times New Roman" w:hAnsi="Bookman Old Style"/>
          <w:sz w:val="22"/>
          <w:szCs w:val="22"/>
        </w:rPr>
        <w:t xml:space="preserve"> con decreto interministeriale, </w:t>
      </w:r>
      <w:r w:rsidRPr="00E747E8">
        <w:rPr>
          <w:rFonts w:ascii="Bookman Old Style" w:eastAsia="Times New Roman" w:hAnsi="Bookman Old Style"/>
          <w:b/>
          <w:bCs/>
          <w:sz w:val="22"/>
          <w:szCs w:val="22"/>
        </w:rPr>
        <w:t>previa intesa in Conferenza Unificata entro il 30 giugno di ciascun anno</w:t>
      </w:r>
      <w:r w:rsidRPr="00E747E8">
        <w:rPr>
          <w:rFonts w:ascii="Bookman Old Style" w:eastAsia="Times New Roman" w:hAnsi="Bookman Old Style"/>
          <w:sz w:val="22"/>
          <w:szCs w:val="22"/>
        </w:rPr>
        <w:t xml:space="preserve"> e </w:t>
      </w:r>
      <w:r w:rsidRPr="00E747E8">
        <w:rPr>
          <w:rFonts w:ascii="Bookman Old Style" w:eastAsia="Times New Roman" w:hAnsi="Bookman Old Style"/>
          <w:b/>
          <w:bCs/>
          <w:sz w:val="22"/>
          <w:szCs w:val="22"/>
        </w:rPr>
        <w:t xml:space="preserve">per la quota parte di 30 milioni in favore dei </w:t>
      </w:r>
      <w:r w:rsidR="00E37717">
        <w:rPr>
          <w:rFonts w:ascii="Bookman Old Style" w:eastAsia="Times New Roman" w:hAnsi="Bookman Old Style"/>
          <w:b/>
          <w:bCs/>
          <w:sz w:val="22"/>
          <w:szCs w:val="22"/>
        </w:rPr>
        <w:t>C</w:t>
      </w:r>
      <w:r w:rsidR="00E37717" w:rsidRPr="00E747E8">
        <w:rPr>
          <w:rFonts w:ascii="Bookman Old Style" w:eastAsia="Times New Roman" w:hAnsi="Bookman Old Style"/>
          <w:b/>
          <w:bCs/>
          <w:sz w:val="22"/>
          <w:szCs w:val="22"/>
        </w:rPr>
        <w:t xml:space="preserve">omuni </w:t>
      </w:r>
      <w:r w:rsidRPr="00E747E8">
        <w:rPr>
          <w:rFonts w:ascii="Bookman Old Style" w:eastAsia="Times New Roman" w:hAnsi="Bookman Old Style"/>
          <w:sz w:val="22"/>
          <w:szCs w:val="22"/>
        </w:rPr>
        <w:t>con decreto interministeriale,</w:t>
      </w:r>
      <w:r w:rsidRPr="00E747E8">
        <w:rPr>
          <w:rFonts w:ascii="Bookman Old Style" w:eastAsia="Times New Roman" w:hAnsi="Bookman Old Style"/>
          <w:b/>
          <w:bCs/>
          <w:sz w:val="22"/>
          <w:szCs w:val="22"/>
        </w:rPr>
        <w:t xml:space="preserve"> previa intesa in Conferenza Stato-Città entro il 30 giugno</w:t>
      </w:r>
      <w:r w:rsidRPr="00E747E8">
        <w:rPr>
          <w:rFonts w:ascii="Bookman Old Style" w:eastAsia="Times New Roman" w:hAnsi="Bookman Old Style"/>
          <w:sz w:val="22"/>
          <w:szCs w:val="22"/>
        </w:rPr>
        <w:t xml:space="preserve"> di ciascun anno.</w:t>
      </w:r>
    </w:p>
    <w:p w:rsidR="00281AC5" w:rsidRPr="000A4E63" w:rsidRDefault="00281AC5" w:rsidP="00281AC5">
      <w:pPr>
        <w:keepNext/>
        <w:jc w:val="both"/>
        <w:rPr>
          <w:rFonts w:ascii="Bookman Old Style" w:eastAsia="Times New Roman" w:hAnsi="Bookman Old Style"/>
          <w:sz w:val="22"/>
          <w:szCs w:val="22"/>
        </w:rPr>
      </w:pPr>
    </w:p>
    <w:p w:rsidR="00281AC5" w:rsidRPr="000A4E63" w:rsidRDefault="00281AC5" w:rsidP="00281AC5">
      <w:pPr>
        <w:keepNext/>
        <w:jc w:val="both"/>
        <w:rPr>
          <w:rFonts w:ascii="Bookman Old Style" w:eastAsia="Times New Roman" w:hAnsi="Bookman Old Style"/>
          <w:sz w:val="22"/>
          <w:szCs w:val="22"/>
        </w:rPr>
      </w:pPr>
    </w:p>
    <w:p w:rsidR="00281AC5" w:rsidRPr="000A4E63" w:rsidRDefault="00281AC5" w:rsidP="00281AC5">
      <w:pPr>
        <w:pStyle w:val="Paragrafoelenco"/>
        <w:numPr>
          <w:ilvl w:val="0"/>
          <w:numId w:val="15"/>
        </w:numPr>
        <w:rPr>
          <w:rFonts w:ascii="Bookman Old Style" w:hAnsi="Bookman Old Style"/>
          <w:b/>
          <w:bCs/>
          <w:color w:val="002060"/>
        </w:rPr>
      </w:pPr>
      <w:r w:rsidRPr="00950095">
        <w:rPr>
          <w:rFonts w:ascii="Bookman Old Style" w:hAnsi="Bookman Old Style"/>
          <w:b/>
          <w:bCs/>
          <w:color w:val="FF0000"/>
        </w:rPr>
        <w:t>Valorizzazione dei piccoli borghi e delle aree interne (art. 1, commi 353-356)</w:t>
      </w:r>
    </w:p>
    <w:p w:rsidR="00281AC5" w:rsidRDefault="00281AC5" w:rsidP="00281AC5">
      <w:pPr>
        <w:jc w:val="both"/>
        <w:rPr>
          <w:rFonts w:ascii="Bookman Old Style" w:eastAsia="Times New Roman" w:hAnsi="Bookman Old Style"/>
          <w:sz w:val="22"/>
          <w:szCs w:val="22"/>
        </w:rPr>
      </w:pPr>
      <w:r w:rsidRPr="000A4E63">
        <w:rPr>
          <w:rFonts w:ascii="Bookman Old Style" w:eastAsia="Times New Roman" w:hAnsi="Bookman Old Style"/>
          <w:sz w:val="22"/>
          <w:szCs w:val="22"/>
        </w:rPr>
        <w:t xml:space="preserve">Si prevede un contributo per gli anni 2022 e il 2023 per il pagamento dell’imposta municipale propria per gli immobili siti nei </w:t>
      </w:r>
      <w:r w:rsidRPr="000A4E63">
        <w:rPr>
          <w:rFonts w:ascii="Bookman Old Style" w:eastAsia="Times New Roman" w:hAnsi="Bookman Old Style"/>
          <w:b/>
          <w:bCs/>
          <w:sz w:val="22"/>
          <w:szCs w:val="22"/>
        </w:rPr>
        <w:t>Comuni con popolazione fino a 500 abitanti</w:t>
      </w:r>
      <w:r w:rsidRPr="000A4E63">
        <w:rPr>
          <w:rFonts w:ascii="Bookman Old Style" w:eastAsia="Times New Roman" w:hAnsi="Bookman Old Style"/>
          <w:sz w:val="22"/>
          <w:szCs w:val="22"/>
        </w:rPr>
        <w:t xml:space="preserve"> </w:t>
      </w:r>
      <w:r w:rsidRPr="000A4E63">
        <w:rPr>
          <w:rFonts w:ascii="Bookman Old Style" w:eastAsia="Times New Roman" w:hAnsi="Bookman Old Style"/>
          <w:b/>
          <w:bCs/>
          <w:sz w:val="22"/>
          <w:szCs w:val="22"/>
        </w:rPr>
        <w:t>delle aree interne</w:t>
      </w:r>
      <w:r w:rsidRPr="000A4E63">
        <w:rPr>
          <w:rFonts w:ascii="Bookman Old Style" w:eastAsia="Times New Roman" w:hAnsi="Bookman Old Style"/>
          <w:sz w:val="22"/>
          <w:szCs w:val="22"/>
        </w:rPr>
        <w:t xml:space="preserve">, a favore degli esercenti l’attività di commercio al dettaglio e gli artigiani che iniziano, proseguono o trasferiscono la propria attività in tali </w:t>
      </w:r>
      <w:r w:rsidR="00E37717">
        <w:rPr>
          <w:rFonts w:ascii="Bookman Old Style" w:eastAsia="Times New Roman" w:hAnsi="Bookman Old Style"/>
          <w:sz w:val="22"/>
          <w:szCs w:val="22"/>
        </w:rPr>
        <w:t>C</w:t>
      </w:r>
      <w:r w:rsidR="00E37717" w:rsidRPr="000A4E63">
        <w:rPr>
          <w:rFonts w:ascii="Bookman Old Style" w:eastAsia="Times New Roman" w:hAnsi="Bookman Old Style"/>
          <w:sz w:val="22"/>
          <w:szCs w:val="22"/>
        </w:rPr>
        <w:t>omuni</w:t>
      </w:r>
      <w:r w:rsidRPr="000A4E63">
        <w:rPr>
          <w:rFonts w:ascii="Bookman Old Style" w:eastAsia="Times New Roman" w:hAnsi="Bookman Old Style"/>
          <w:sz w:val="22"/>
          <w:szCs w:val="22"/>
        </w:rPr>
        <w:t>. Gli Enti locali possono concedere in comodato beni immobili di loro proprietà, non utilizzati per fini istituzionali, agli esercenti l’attività di commercio al dettaglio e agli artigiani.</w:t>
      </w:r>
    </w:p>
    <w:p w:rsidR="00281AC5" w:rsidRDefault="00281AC5" w:rsidP="00281AC5">
      <w:pPr>
        <w:keepNext/>
        <w:jc w:val="both"/>
        <w:rPr>
          <w:rFonts w:ascii="Bookman Old Style" w:eastAsia="Times New Roman" w:hAnsi="Bookman Old Style"/>
          <w:sz w:val="22"/>
          <w:szCs w:val="22"/>
        </w:rPr>
      </w:pPr>
    </w:p>
    <w:p w:rsidR="00281AC5" w:rsidRPr="000A4E63" w:rsidRDefault="00281AC5" w:rsidP="00281AC5">
      <w:pPr>
        <w:jc w:val="center"/>
        <w:rPr>
          <w:rFonts w:ascii="Bookman Old Style" w:eastAsia="Times New Roman" w:hAnsi="Bookman Old Style"/>
          <w:sz w:val="22"/>
          <w:szCs w:val="22"/>
        </w:rPr>
      </w:pPr>
    </w:p>
    <w:p w:rsidR="00281AC5" w:rsidRPr="00295F06" w:rsidRDefault="00281AC5" w:rsidP="00281AC5">
      <w:pPr>
        <w:pStyle w:val="Paragrafoelenco"/>
        <w:numPr>
          <w:ilvl w:val="0"/>
          <w:numId w:val="15"/>
        </w:numPr>
        <w:rPr>
          <w:rFonts w:ascii="Bookman Old Style" w:hAnsi="Bookman Old Style"/>
          <w:b/>
          <w:bCs/>
          <w:color w:val="002060"/>
        </w:rPr>
      </w:pPr>
      <w:r w:rsidRPr="00950095">
        <w:rPr>
          <w:rFonts w:ascii="Bookman Old Style" w:hAnsi="Bookman Old Style"/>
          <w:b/>
          <w:bCs/>
          <w:color w:val="FF0000"/>
        </w:rPr>
        <w:t>Fondazioni lirico sinfoniche (art. 1, commi da 359-363</w:t>
      </w:r>
      <w:r w:rsidRPr="00295F06">
        <w:rPr>
          <w:rFonts w:ascii="Bookman Old Style" w:hAnsi="Bookman Old Style"/>
          <w:b/>
          <w:bCs/>
          <w:color w:val="002060"/>
        </w:rPr>
        <w:t>)</w:t>
      </w:r>
    </w:p>
    <w:p w:rsidR="00281AC5" w:rsidRPr="000A4E63" w:rsidRDefault="00281AC5" w:rsidP="00281AC5">
      <w:pPr>
        <w:jc w:val="both"/>
        <w:rPr>
          <w:rFonts w:ascii="Bookman Old Style" w:hAnsi="Bookman Old Style"/>
          <w:sz w:val="22"/>
          <w:szCs w:val="22"/>
        </w:rPr>
      </w:pPr>
      <w:r w:rsidRPr="00295F06">
        <w:rPr>
          <w:rFonts w:ascii="Bookman Old Style" w:hAnsi="Bookman Old Style"/>
          <w:sz w:val="22"/>
          <w:szCs w:val="22"/>
        </w:rPr>
        <w:t xml:space="preserve">La norma prevede l'istituzione di un fondo con dotazione pari a </w:t>
      </w:r>
      <w:r w:rsidRPr="00295F06">
        <w:rPr>
          <w:rFonts w:ascii="Bookman Old Style" w:hAnsi="Bookman Old Style"/>
          <w:b/>
          <w:bCs/>
          <w:sz w:val="22"/>
          <w:szCs w:val="22"/>
        </w:rPr>
        <w:t>100 milioni di euro per l'anno 2022 e 50 milioni di euro per l'anno 2023</w:t>
      </w:r>
      <w:r w:rsidRPr="00295F06">
        <w:rPr>
          <w:rFonts w:ascii="Bookman Old Style" w:hAnsi="Bookman Old Style"/>
          <w:sz w:val="22"/>
          <w:szCs w:val="22"/>
        </w:rPr>
        <w:t>, per l'assegnazione di un contributo finalizzato a incrementare il fondo di dotazione delle fondazioni lirico-sinfoniche di cui al decreto legislativo 29 giugno 1996, n. 367, e di cui alla legge 11 novembre</w:t>
      </w:r>
      <w:r w:rsidRPr="000A4E63">
        <w:rPr>
          <w:rFonts w:ascii="Bookman Old Style" w:hAnsi="Bookman Old Style"/>
          <w:sz w:val="22"/>
          <w:szCs w:val="22"/>
        </w:rPr>
        <w:t xml:space="preserve"> 2003, </w:t>
      </w:r>
      <w:r w:rsidR="008E30F7">
        <w:rPr>
          <w:rFonts w:ascii="Bookman Old Style" w:hAnsi="Bookman Old Style"/>
          <w:sz w:val="22"/>
          <w:szCs w:val="22"/>
        </w:rPr>
        <w:t>n.</w:t>
      </w:r>
      <w:r w:rsidRPr="000A4E63">
        <w:rPr>
          <w:rFonts w:ascii="Bookman Old Style" w:hAnsi="Bookman Old Style"/>
          <w:sz w:val="22"/>
          <w:szCs w:val="22"/>
        </w:rPr>
        <w:t>1310.</w:t>
      </w:r>
    </w:p>
    <w:p w:rsidR="00281AC5" w:rsidRPr="000A4E63" w:rsidRDefault="00281AC5" w:rsidP="00281AC5">
      <w:pPr>
        <w:jc w:val="both"/>
        <w:rPr>
          <w:rFonts w:ascii="Bookman Old Style" w:hAnsi="Bookman Old Style"/>
          <w:sz w:val="22"/>
          <w:szCs w:val="22"/>
        </w:rPr>
      </w:pPr>
    </w:p>
    <w:p w:rsidR="00281AC5" w:rsidRPr="000A4E63" w:rsidRDefault="00281AC5" w:rsidP="00281AC5">
      <w:pPr>
        <w:pStyle w:val="Paragrafoelenco"/>
        <w:numPr>
          <w:ilvl w:val="0"/>
          <w:numId w:val="15"/>
        </w:numPr>
        <w:rPr>
          <w:rFonts w:ascii="Bookman Old Style" w:hAnsi="Bookman Old Style"/>
          <w:b/>
          <w:bCs/>
          <w:color w:val="002060"/>
        </w:rPr>
      </w:pPr>
      <w:r w:rsidRPr="00950095">
        <w:rPr>
          <w:rFonts w:ascii="Bookman Old Style" w:hAnsi="Bookman Old Style"/>
          <w:b/>
          <w:bCs/>
          <w:color w:val="FF0000"/>
        </w:rPr>
        <w:t>Fondo unico nazionale per il turismo (art. 1, commi 366-372)</w:t>
      </w:r>
    </w:p>
    <w:p w:rsidR="00281AC5" w:rsidRDefault="00281AC5" w:rsidP="00281AC5">
      <w:pPr>
        <w:jc w:val="both"/>
        <w:rPr>
          <w:rFonts w:ascii="Bookman Old Style" w:hAnsi="Bookman Old Style"/>
          <w:sz w:val="22"/>
          <w:szCs w:val="22"/>
        </w:rPr>
      </w:pPr>
      <w:r>
        <w:rPr>
          <w:rFonts w:ascii="Bookman Old Style" w:hAnsi="Bookman Old Style"/>
          <w:sz w:val="22"/>
          <w:szCs w:val="22"/>
        </w:rPr>
        <w:t>Viene istituito un</w:t>
      </w:r>
      <w:r w:rsidRPr="000A4E63">
        <w:rPr>
          <w:rFonts w:ascii="Bookman Old Style" w:hAnsi="Bookman Old Style"/>
          <w:sz w:val="22"/>
          <w:szCs w:val="22"/>
        </w:rPr>
        <w:t xml:space="preserve"> Fondo unico nazionale per il turismo </w:t>
      </w:r>
      <w:r w:rsidR="008E30F7">
        <w:rPr>
          <w:rFonts w:ascii="Bookman Old Style" w:hAnsi="Bookman Old Style"/>
          <w:sz w:val="22"/>
          <w:szCs w:val="22"/>
        </w:rPr>
        <w:t xml:space="preserve">di parte corrente </w:t>
      </w:r>
      <w:r w:rsidRPr="000A4E63">
        <w:rPr>
          <w:rFonts w:ascii="Bookman Old Style" w:hAnsi="Bookman Old Style"/>
          <w:sz w:val="22"/>
          <w:szCs w:val="22"/>
        </w:rPr>
        <w:t xml:space="preserve">con una dotazione pari </w:t>
      </w:r>
      <w:r w:rsidRPr="000A4E63">
        <w:rPr>
          <w:rFonts w:ascii="Bookman Old Style" w:hAnsi="Bookman Old Style"/>
          <w:b/>
          <w:bCs/>
          <w:sz w:val="22"/>
          <w:szCs w:val="22"/>
        </w:rPr>
        <w:t>120 milioni di euro per gli anni 2022 e 2023 e a 40 milioni di euro per l'anno 2024</w:t>
      </w:r>
      <w:r w:rsidRPr="000A4E63">
        <w:rPr>
          <w:rFonts w:ascii="Bookman Old Style" w:hAnsi="Bookman Old Style"/>
          <w:sz w:val="22"/>
          <w:szCs w:val="22"/>
        </w:rPr>
        <w:t>, con la finalità di razionalizzare gli interventi finalizzati all'attrattività e alla promozione turistica nel territorio nazionale, sostenendo gli operatori del settore nel percorso di attenuazione degli effetti della crisi e per il rilancio produttivo ed occupazionale in sinergia con le misure previste dal Piano nazionale di ripresa e resilienza</w:t>
      </w:r>
      <w:r w:rsidR="00FD0700">
        <w:rPr>
          <w:rFonts w:ascii="Bookman Old Style" w:hAnsi="Bookman Old Style"/>
          <w:sz w:val="22"/>
          <w:szCs w:val="22"/>
        </w:rPr>
        <w:t xml:space="preserve">. </w:t>
      </w:r>
    </w:p>
    <w:p w:rsidR="00FD0700" w:rsidRPr="00EB70AD" w:rsidRDefault="00FD0700" w:rsidP="00281AC5">
      <w:pPr>
        <w:jc w:val="both"/>
        <w:rPr>
          <w:rFonts w:ascii="Bookman Old Style" w:hAnsi="Bookman Old Style"/>
          <w:b/>
          <w:sz w:val="22"/>
          <w:szCs w:val="22"/>
        </w:rPr>
      </w:pPr>
      <w:r>
        <w:rPr>
          <w:rFonts w:ascii="Bookman Old Style" w:hAnsi="Bookman Old Style"/>
          <w:sz w:val="22"/>
          <w:szCs w:val="22"/>
        </w:rPr>
        <w:t xml:space="preserve">Per la realizzazione di investimenti finalizzati ad incrementare l’attività turistica del Paese, anche in relazione all’organizzazione di manifestazioni ed eventi, compresi quelli sportivi, connotati da spiccato rilievo turistico, è istituito un altro Fondo nazionale per il turismo di conto capitale, con una dotazione pari a </w:t>
      </w:r>
      <w:r w:rsidRPr="00EB70AD">
        <w:rPr>
          <w:rFonts w:ascii="Bookman Old Style" w:hAnsi="Bookman Old Style"/>
          <w:b/>
          <w:sz w:val="22"/>
          <w:szCs w:val="22"/>
        </w:rPr>
        <w:t xml:space="preserve">50milioni di euro per l’anno 2022, 100 milioni di euro per l’anno 2023 e 50 milioni di euro per ciascuno degli anni 2024 e 2025.  </w:t>
      </w:r>
    </w:p>
    <w:p w:rsidR="00281AC5" w:rsidRPr="000A4E63" w:rsidRDefault="00281AC5" w:rsidP="00281AC5">
      <w:pPr>
        <w:jc w:val="both"/>
        <w:rPr>
          <w:rFonts w:ascii="Bookman Old Style" w:hAnsi="Bookman Old Style"/>
          <w:sz w:val="22"/>
          <w:szCs w:val="22"/>
        </w:rPr>
      </w:pPr>
    </w:p>
    <w:p w:rsidR="00281AC5" w:rsidRPr="00950095" w:rsidRDefault="00281AC5" w:rsidP="00281AC5">
      <w:pPr>
        <w:pStyle w:val="Paragrafoelenco"/>
        <w:numPr>
          <w:ilvl w:val="0"/>
          <w:numId w:val="15"/>
        </w:numPr>
        <w:rPr>
          <w:rFonts w:ascii="Bookman Old Style" w:hAnsi="Bookman Old Style"/>
          <w:b/>
          <w:bCs/>
          <w:color w:val="FF0000"/>
        </w:rPr>
      </w:pPr>
      <w:r w:rsidRPr="00950095">
        <w:rPr>
          <w:rFonts w:ascii="Bookman Old Style" w:hAnsi="Bookman Old Style"/>
          <w:b/>
          <w:bCs/>
          <w:color w:val="FF0000"/>
        </w:rPr>
        <w:t>Fondo per l'innovazione tecnologica e la digitalizzazione (art. 1, comma 380)</w:t>
      </w:r>
    </w:p>
    <w:p w:rsidR="00281AC5" w:rsidRPr="000A4E63" w:rsidRDefault="00281AC5" w:rsidP="00281AC5">
      <w:pPr>
        <w:jc w:val="both"/>
        <w:rPr>
          <w:rFonts w:ascii="Bookman Old Style" w:hAnsi="Bookman Old Style"/>
          <w:sz w:val="22"/>
          <w:szCs w:val="22"/>
        </w:rPr>
      </w:pPr>
      <w:r>
        <w:rPr>
          <w:rFonts w:ascii="Bookman Old Style" w:hAnsi="Bookman Old Style"/>
          <w:sz w:val="22"/>
          <w:szCs w:val="22"/>
        </w:rPr>
        <w:t>Viene incrementato il</w:t>
      </w:r>
      <w:r w:rsidRPr="000A4E63">
        <w:rPr>
          <w:rFonts w:ascii="Bookman Old Style" w:hAnsi="Bookman Old Style"/>
          <w:sz w:val="22"/>
          <w:szCs w:val="22"/>
        </w:rPr>
        <w:t xml:space="preserve"> Fondo per l'innovazione tecnologica e la digitalizzazione</w:t>
      </w:r>
      <w:r>
        <w:rPr>
          <w:rFonts w:ascii="Bookman Old Style" w:hAnsi="Bookman Old Style"/>
          <w:sz w:val="22"/>
          <w:szCs w:val="22"/>
        </w:rPr>
        <w:t xml:space="preserve"> prevedendo</w:t>
      </w:r>
      <w:r w:rsidRPr="000A4E63">
        <w:rPr>
          <w:rFonts w:ascii="Bookman Old Style" w:hAnsi="Bookman Old Style"/>
          <w:sz w:val="22"/>
          <w:szCs w:val="22"/>
        </w:rPr>
        <w:t xml:space="preserve"> </w:t>
      </w:r>
      <w:r w:rsidRPr="000A4E63">
        <w:rPr>
          <w:rFonts w:ascii="Bookman Old Style" w:hAnsi="Bookman Old Style"/>
          <w:b/>
          <w:bCs/>
          <w:sz w:val="22"/>
          <w:szCs w:val="22"/>
        </w:rPr>
        <w:t>5 milioni per il 2022, 10 milioni per il 2023, 20 milioni per il 2024</w:t>
      </w:r>
      <w:r w:rsidRPr="000A4E63">
        <w:rPr>
          <w:rFonts w:ascii="Bookman Old Style" w:hAnsi="Bookman Old Style"/>
          <w:sz w:val="22"/>
          <w:szCs w:val="22"/>
        </w:rPr>
        <w:t>.</w:t>
      </w:r>
    </w:p>
    <w:p w:rsidR="00281AC5" w:rsidRPr="000A4E63" w:rsidRDefault="00281AC5" w:rsidP="00281AC5">
      <w:pPr>
        <w:pStyle w:val="Corpotesto"/>
        <w:spacing w:line="244" w:lineRule="auto"/>
        <w:ind w:left="24" w:right="17"/>
        <w:rPr>
          <w:rFonts w:ascii="Bookman Old Style" w:hAnsi="Bookman Old Style"/>
          <w:spacing w:val="-16"/>
          <w:w w:val="105"/>
          <w:sz w:val="22"/>
          <w:szCs w:val="22"/>
        </w:rPr>
      </w:pPr>
    </w:p>
    <w:p w:rsidR="00281AC5" w:rsidRPr="00950095" w:rsidRDefault="00281AC5" w:rsidP="00281AC5">
      <w:pPr>
        <w:pStyle w:val="Corpotesto"/>
        <w:numPr>
          <w:ilvl w:val="0"/>
          <w:numId w:val="15"/>
        </w:numPr>
        <w:spacing w:line="244" w:lineRule="auto"/>
        <w:ind w:right="17"/>
        <w:rPr>
          <w:rFonts w:ascii="Bookman Old Style" w:hAnsi="Bookman Old Style"/>
          <w:b/>
          <w:bCs/>
          <w:color w:val="FF0000"/>
          <w:sz w:val="22"/>
          <w:szCs w:val="22"/>
        </w:rPr>
      </w:pPr>
      <w:r w:rsidRPr="00950095">
        <w:rPr>
          <w:rFonts w:ascii="Bookman Old Style" w:hAnsi="Bookman Old Style"/>
          <w:b/>
          <w:bCs/>
          <w:color w:val="FF0000"/>
          <w:sz w:val="22"/>
          <w:szCs w:val="22"/>
        </w:rPr>
        <w:t>Incremento della dotazione del Fondo nazionale per le politiche e i servizi dell’asilo (art. 1, comma 390)</w:t>
      </w:r>
    </w:p>
    <w:p w:rsidR="00281AC5" w:rsidRPr="000A4E63" w:rsidRDefault="00281AC5" w:rsidP="00281AC5">
      <w:pPr>
        <w:spacing w:before="10"/>
        <w:ind w:right="17"/>
        <w:jc w:val="both"/>
        <w:rPr>
          <w:rFonts w:ascii="Bookman Old Style" w:eastAsia="Times New Roman" w:hAnsi="Bookman Old Style" w:cs="Times New Roman"/>
          <w:b/>
          <w:bCs/>
          <w:color w:val="002060"/>
          <w:sz w:val="22"/>
          <w:szCs w:val="22"/>
        </w:rPr>
      </w:pPr>
      <w:r>
        <w:rPr>
          <w:rFonts w:ascii="Bookman Old Style" w:hAnsi="Bookman Old Style"/>
          <w:sz w:val="22"/>
          <w:szCs w:val="22"/>
        </w:rPr>
        <w:t>Viene incrementato</w:t>
      </w:r>
      <w:r w:rsidRPr="000A4E63">
        <w:rPr>
          <w:rFonts w:ascii="Bookman Old Style" w:hAnsi="Bookman Old Style"/>
          <w:sz w:val="22"/>
          <w:szCs w:val="22"/>
        </w:rPr>
        <w:t xml:space="preserve"> di </w:t>
      </w:r>
      <w:r w:rsidRPr="000A4E63">
        <w:rPr>
          <w:rFonts w:ascii="Bookman Old Style" w:hAnsi="Bookman Old Style"/>
          <w:b/>
          <w:bCs/>
          <w:sz w:val="22"/>
          <w:szCs w:val="22"/>
        </w:rPr>
        <w:t>29.981.100 euro per ciascuno degli anni 2022, 2023 e 2024</w:t>
      </w:r>
      <w:r w:rsidRPr="000A4E63">
        <w:rPr>
          <w:rFonts w:ascii="Bookman Old Style" w:hAnsi="Bookman Old Style"/>
          <w:sz w:val="22"/>
          <w:szCs w:val="22"/>
        </w:rPr>
        <w:t xml:space="preserve"> </w:t>
      </w:r>
      <w:r>
        <w:rPr>
          <w:rFonts w:ascii="Bookman Old Style" w:hAnsi="Bookman Old Style"/>
          <w:sz w:val="22"/>
          <w:szCs w:val="22"/>
        </w:rPr>
        <w:t>il</w:t>
      </w:r>
      <w:r w:rsidRPr="000A4E63">
        <w:rPr>
          <w:rFonts w:ascii="Bookman Old Style" w:hAnsi="Bookman Old Style"/>
          <w:spacing w:val="-3"/>
          <w:sz w:val="22"/>
          <w:szCs w:val="22"/>
        </w:rPr>
        <w:t xml:space="preserve"> </w:t>
      </w:r>
      <w:r w:rsidRPr="000A4E63">
        <w:rPr>
          <w:rFonts w:ascii="Bookman Old Style" w:hAnsi="Bookman Old Style"/>
          <w:sz w:val="22"/>
          <w:szCs w:val="22"/>
        </w:rPr>
        <w:t>Fondo</w:t>
      </w:r>
      <w:r w:rsidRPr="000A4E63">
        <w:rPr>
          <w:rFonts w:ascii="Bookman Old Style" w:hAnsi="Bookman Old Style"/>
          <w:spacing w:val="3"/>
          <w:sz w:val="22"/>
          <w:szCs w:val="22"/>
        </w:rPr>
        <w:t xml:space="preserve"> </w:t>
      </w:r>
      <w:r w:rsidRPr="000A4E63">
        <w:rPr>
          <w:rFonts w:ascii="Bookman Old Style" w:hAnsi="Bookman Old Style"/>
          <w:sz w:val="22"/>
          <w:szCs w:val="22"/>
        </w:rPr>
        <w:t>nazionale</w:t>
      </w:r>
      <w:r w:rsidRPr="000A4E63">
        <w:rPr>
          <w:rFonts w:ascii="Bookman Old Style" w:hAnsi="Bookman Old Style"/>
          <w:spacing w:val="6"/>
          <w:sz w:val="22"/>
          <w:szCs w:val="22"/>
        </w:rPr>
        <w:t xml:space="preserve"> </w:t>
      </w:r>
      <w:r w:rsidRPr="000A4E63">
        <w:rPr>
          <w:rFonts w:ascii="Bookman Old Style" w:hAnsi="Bookman Old Style"/>
          <w:sz w:val="22"/>
          <w:szCs w:val="22"/>
        </w:rPr>
        <w:t>per</w:t>
      </w:r>
      <w:r w:rsidRPr="000A4E63">
        <w:rPr>
          <w:rFonts w:ascii="Bookman Old Style" w:hAnsi="Bookman Old Style"/>
          <w:spacing w:val="-8"/>
          <w:sz w:val="22"/>
          <w:szCs w:val="22"/>
        </w:rPr>
        <w:t xml:space="preserve"> </w:t>
      </w:r>
      <w:r w:rsidRPr="000A4E63">
        <w:rPr>
          <w:rFonts w:ascii="Bookman Old Style" w:hAnsi="Bookman Old Style"/>
          <w:sz w:val="22"/>
          <w:szCs w:val="22"/>
        </w:rPr>
        <w:t>le</w:t>
      </w:r>
      <w:r w:rsidRPr="000A4E63">
        <w:rPr>
          <w:rFonts w:ascii="Bookman Old Style" w:hAnsi="Bookman Old Style"/>
          <w:spacing w:val="-8"/>
          <w:sz w:val="22"/>
          <w:szCs w:val="22"/>
        </w:rPr>
        <w:t xml:space="preserve"> </w:t>
      </w:r>
      <w:r w:rsidRPr="000A4E63">
        <w:rPr>
          <w:rFonts w:ascii="Bookman Old Style" w:hAnsi="Bookman Old Style"/>
          <w:sz w:val="22"/>
          <w:szCs w:val="22"/>
        </w:rPr>
        <w:t>politiche</w:t>
      </w:r>
      <w:r w:rsidRPr="000A4E63">
        <w:rPr>
          <w:rFonts w:ascii="Bookman Old Style" w:hAnsi="Bookman Old Style"/>
          <w:spacing w:val="-9"/>
          <w:sz w:val="22"/>
          <w:szCs w:val="22"/>
        </w:rPr>
        <w:t xml:space="preserve"> </w:t>
      </w:r>
      <w:r w:rsidRPr="000A4E63">
        <w:rPr>
          <w:rFonts w:ascii="Bookman Old Style" w:hAnsi="Bookman Old Style"/>
          <w:sz w:val="22"/>
          <w:szCs w:val="22"/>
        </w:rPr>
        <w:t>e</w:t>
      </w:r>
      <w:r w:rsidRPr="000A4E63">
        <w:rPr>
          <w:rFonts w:ascii="Bookman Old Style" w:hAnsi="Bookman Old Style"/>
          <w:spacing w:val="-4"/>
          <w:sz w:val="22"/>
          <w:szCs w:val="22"/>
        </w:rPr>
        <w:t xml:space="preserve"> </w:t>
      </w:r>
      <w:r w:rsidRPr="000A4E63">
        <w:rPr>
          <w:rFonts w:ascii="Bookman Old Style" w:hAnsi="Bookman Old Style"/>
          <w:sz w:val="22"/>
          <w:szCs w:val="22"/>
        </w:rPr>
        <w:t>per</w:t>
      </w:r>
      <w:r w:rsidRPr="000A4E63">
        <w:rPr>
          <w:rFonts w:ascii="Bookman Old Style" w:hAnsi="Bookman Old Style"/>
          <w:spacing w:val="-2"/>
          <w:sz w:val="22"/>
          <w:szCs w:val="22"/>
        </w:rPr>
        <w:t xml:space="preserve"> </w:t>
      </w:r>
      <w:r w:rsidRPr="000A4E63">
        <w:rPr>
          <w:rFonts w:ascii="Bookman Old Style" w:hAnsi="Bookman Old Style"/>
          <w:sz w:val="22"/>
          <w:szCs w:val="22"/>
        </w:rPr>
        <w:t>i</w:t>
      </w:r>
      <w:r w:rsidRPr="000A4E63">
        <w:rPr>
          <w:rFonts w:ascii="Bookman Old Style" w:hAnsi="Bookman Old Style"/>
          <w:spacing w:val="-12"/>
          <w:sz w:val="22"/>
          <w:szCs w:val="22"/>
        </w:rPr>
        <w:t xml:space="preserve"> </w:t>
      </w:r>
      <w:r w:rsidRPr="000A4E63">
        <w:rPr>
          <w:rFonts w:ascii="Bookman Old Style" w:hAnsi="Bookman Old Style"/>
          <w:sz w:val="22"/>
          <w:szCs w:val="22"/>
        </w:rPr>
        <w:t>servizi</w:t>
      </w:r>
      <w:r w:rsidRPr="000A4E63">
        <w:rPr>
          <w:rFonts w:ascii="Bookman Old Style" w:hAnsi="Bookman Old Style"/>
          <w:spacing w:val="-1"/>
          <w:sz w:val="22"/>
          <w:szCs w:val="22"/>
        </w:rPr>
        <w:t xml:space="preserve"> </w:t>
      </w:r>
      <w:r w:rsidRPr="000A4E63">
        <w:rPr>
          <w:rFonts w:ascii="Bookman Old Style" w:hAnsi="Bookman Old Style"/>
          <w:sz w:val="22"/>
          <w:szCs w:val="22"/>
        </w:rPr>
        <w:t>dell'asilo</w:t>
      </w:r>
      <w:r w:rsidRPr="000A4E63">
        <w:rPr>
          <w:rFonts w:ascii="Bookman Old Style" w:hAnsi="Bookman Old Style"/>
          <w:spacing w:val="-1"/>
          <w:sz w:val="22"/>
          <w:szCs w:val="22"/>
        </w:rPr>
        <w:t xml:space="preserve"> </w:t>
      </w:r>
      <w:r w:rsidRPr="000A4E63">
        <w:rPr>
          <w:rFonts w:ascii="Bookman Old Style" w:hAnsi="Bookman Old Style"/>
          <w:sz w:val="22"/>
          <w:szCs w:val="22"/>
        </w:rPr>
        <w:t xml:space="preserve">al fine di far fronte alle eccezionali esigenze di accoglienza dei richiedenti asilo e </w:t>
      </w:r>
      <w:r w:rsidRPr="000A4E63">
        <w:rPr>
          <w:rFonts w:ascii="Bookman Old Style" w:hAnsi="Bookman Old Style"/>
          <w:b/>
          <w:bCs/>
          <w:sz w:val="22"/>
          <w:szCs w:val="22"/>
        </w:rPr>
        <w:t>consentire</w:t>
      </w:r>
      <w:r w:rsidRPr="000A4E63">
        <w:rPr>
          <w:rFonts w:ascii="Bookman Old Style" w:hAnsi="Bookman Old Style"/>
          <w:b/>
          <w:bCs/>
          <w:spacing w:val="-26"/>
          <w:sz w:val="22"/>
          <w:szCs w:val="22"/>
        </w:rPr>
        <w:t xml:space="preserve"> </w:t>
      </w:r>
      <w:r w:rsidRPr="000A4E63">
        <w:rPr>
          <w:rFonts w:ascii="Bookman Old Style" w:hAnsi="Bookman Old Style"/>
          <w:b/>
          <w:bCs/>
          <w:sz w:val="22"/>
          <w:szCs w:val="22"/>
        </w:rPr>
        <w:t>l'attivazione</w:t>
      </w:r>
      <w:r w:rsidRPr="000A4E63">
        <w:rPr>
          <w:rFonts w:ascii="Bookman Old Style" w:hAnsi="Bookman Old Style"/>
          <w:b/>
          <w:bCs/>
          <w:spacing w:val="-25"/>
          <w:sz w:val="22"/>
          <w:szCs w:val="22"/>
        </w:rPr>
        <w:t xml:space="preserve"> </w:t>
      </w:r>
      <w:r w:rsidRPr="000A4E63">
        <w:rPr>
          <w:rFonts w:ascii="Bookman Old Style" w:hAnsi="Bookman Old Style"/>
          <w:b/>
          <w:bCs/>
          <w:sz w:val="22"/>
          <w:szCs w:val="22"/>
        </w:rPr>
        <w:t>di</w:t>
      </w:r>
      <w:r w:rsidRPr="000A4E63">
        <w:rPr>
          <w:rFonts w:ascii="Bookman Old Style" w:hAnsi="Bookman Old Style"/>
          <w:b/>
          <w:bCs/>
          <w:spacing w:val="-32"/>
          <w:sz w:val="22"/>
          <w:szCs w:val="22"/>
        </w:rPr>
        <w:t xml:space="preserve"> </w:t>
      </w:r>
      <w:r w:rsidRPr="000A4E63">
        <w:rPr>
          <w:rFonts w:ascii="Bookman Old Style" w:hAnsi="Bookman Old Style"/>
          <w:b/>
          <w:bCs/>
          <w:sz w:val="22"/>
          <w:szCs w:val="22"/>
        </w:rPr>
        <w:t>ulteriori</w:t>
      </w:r>
      <w:r w:rsidRPr="000A4E63">
        <w:rPr>
          <w:rFonts w:ascii="Bookman Old Style" w:hAnsi="Bookman Old Style"/>
          <w:b/>
          <w:bCs/>
          <w:spacing w:val="-30"/>
          <w:sz w:val="22"/>
          <w:szCs w:val="22"/>
        </w:rPr>
        <w:t xml:space="preserve"> </w:t>
      </w:r>
      <w:r w:rsidRPr="000A4E63">
        <w:rPr>
          <w:rFonts w:ascii="Bookman Old Style" w:hAnsi="Bookman Old Style"/>
          <w:b/>
          <w:bCs/>
          <w:sz w:val="22"/>
          <w:szCs w:val="22"/>
        </w:rPr>
        <w:t>2.000</w:t>
      </w:r>
      <w:r w:rsidRPr="000A4E63">
        <w:rPr>
          <w:rFonts w:ascii="Bookman Old Style" w:hAnsi="Bookman Old Style"/>
          <w:b/>
          <w:bCs/>
          <w:spacing w:val="-28"/>
          <w:sz w:val="22"/>
          <w:szCs w:val="22"/>
        </w:rPr>
        <w:t xml:space="preserve"> </w:t>
      </w:r>
      <w:r w:rsidRPr="000A4E63">
        <w:rPr>
          <w:rFonts w:ascii="Bookman Old Style" w:hAnsi="Bookman Old Style"/>
          <w:b/>
          <w:bCs/>
          <w:sz w:val="22"/>
          <w:szCs w:val="22"/>
        </w:rPr>
        <w:t>posti</w:t>
      </w:r>
      <w:r w:rsidRPr="000A4E63">
        <w:rPr>
          <w:rFonts w:ascii="Bookman Old Style" w:hAnsi="Bookman Old Style"/>
          <w:b/>
          <w:bCs/>
          <w:spacing w:val="-31"/>
          <w:sz w:val="22"/>
          <w:szCs w:val="22"/>
        </w:rPr>
        <w:t xml:space="preserve"> </w:t>
      </w:r>
      <w:r w:rsidRPr="000A4E63">
        <w:rPr>
          <w:rFonts w:ascii="Bookman Old Style" w:hAnsi="Bookman Old Style"/>
          <w:b/>
          <w:bCs/>
          <w:sz w:val="22"/>
          <w:szCs w:val="22"/>
        </w:rPr>
        <w:t>nel</w:t>
      </w:r>
      <w:r w:rsidRPr="000A4E63">
        <w:rPr>
          <w:rFonts w:ascii="Bookman Old Style" w:hAnsi="Bookman Old Style"/>
          <w:b/>
          <w:bCs/>
          <w:spacing w:val="-29"/>
          <w:sz w:val="22"/>
          <w:szCs w:val="22"/>
        </w:rPr>
        <w:t xml:space="preserve"> </w:t>
      </w:r>
      <w:r w:rsidRPr="000A4E63">
        <w:rPr>
          <w:rFonts w:ascii="Bookman Old Style" w:hAnsi="Bookman Old Style"/>
          <w:b/>
          <w:bCs/>
          <w:sz w:val="22"/>
          <w:szCs w:val="22"/>
        </w:rPr>
        <w:t>Sistema</w:t>
      </w:r>
      <w:r w:rsidRPr="000A4E63">
        <w:rPr>
          <w:rFonts w:ascii="Bookman Old Style" w:hAnsi="Bookman Old Style"/>
          <w:b/>
          <w:bCs/>
          <w:spacing w:val="-34"/>
          <w:sz w:val="22"/>
          <w:szCs w:val="22"/>
        </w:rPr>
        <w:t xml:space="preserve"> </w:t>
      </w:r>
      <w:r w:rsidRPr="000A4E63">
        <w:rPr>
          <w:rFonts w:ascii="Bookman Old Style" w:hAnsi="Bookman Old Style"/>
          <w:b/>
          <w:bCs/>
          <w:sz w:val="22"/>
          <w:szCs w:val="22"/>
        </w:rPr>
        <w:t>di</w:t>
      </w:r>
      <w:r w:rsidRPr="000A4E63">
        <w:rPr>
          <w:rFonts w:ascii="Bookman Old Style" w:hAnsi="Bookman Old Style"/>
          <w:b/>
          <w:bCs/>
          <w:spacing w:val="-33"/>
          <w:sz w:val="22"/>
          <w:szCs w:val="22"/>
        </w:rPr>
        <w:t xml:space="preserve"> </w:t>
      </w:r>
      <w:r w:rsidRPr="000A4E63">
        <w:rPr>
          <w:rFonts w:ascii="Bookman Old Style" w:hAnsi="Bookman Old Style"/>
          <w:b/>
          <w:bCs/>
          <w:sz w:val="22"/>
          <w:szCs w:val="22"/>
        </w:rPr>
        <w:t>accoglienza</w:t>
      </w:r>
      <w:r w:rsidRPr="000A4E63">
        <w:rPr>
          <w:rFonts w:ascii="Bookman Old Style" w:hAnsi="Bookman Old Style"/>
          <w:b/>
          <w:bCs/>
          <w:spacing w:val="-25"/>
          <w:sz w:val="22"/>
          <w:szCs w:val="22"/>
        </w:rPr>
        <w:t xml:space="preserve"> </w:t>
      </w:r>
      <w:r w:rsidRPr="000A4E63">
        <w:rPr>
          <w:rFonts w:ascii="Bookman Old Style" w:hAnsi="Bookman Old Style"/>
          <w:b/>
          <w:bCs/>
          <w:sz w:val="22"/>
          <w:szCs w:val="22"/>
        </w:rPr>
        <w:t>e</w:t>
      </w:r>
      <w:r w:rsidRPr="000A4E63">
        <w:rPr>
          <w:rFonts w:ascii="Bookman Old Style" w:hAnsi="Bookman Old Style"/>
          <w:b/>
          <w:bCs/>
          <w:spacing w:val="-33"/>
          <w:sz w:val="22"/>
          <w:szCs w:val="22"/>
        </w:rPr>
        <w:t xml:space="preserve"> </w:t>
      </w:r>
      <w:r w:rsidRPr="000A4E63">
        <w:rPr>
          <w:rFonts w:ascii="Bookman Old Style" w:hAnsi="Bookman Old Style"/>
          <w:b/>
          <w:bCs/>
          <w:sz w:val="22"/>
          <w:szCs w:val="22"/>
        </w:rPr>
        <w:t>integrazione</w:t>
      </w:r>
      <w:r w:rsidRPr="000A4E63">
        <w:rPr>
          <w:rFonts w:ascii="Bookman Old Style" w:hAnsi="Bookman Old Style"/>
          <w:b/>
          <w:bCs/>
          <w:spacing w:val="-27"/>
          <w:sz w:val="22"/>
          <w:szCs w:val="22"/>
        </w:rPr>
        <w:t xml:space="preserve"> </w:t>
      </w:r>
      <w:r w:rsidRPr="000A4E63">
        <w:rPr>
          <w:rFonts w:ascii="Bookman Old Style" w:hAnsi="Bookman Old Style"/>
          <w:b/>
          <w:bCs/>
          <w:sz w:val="22"/>
          <w:szCs w:val="22"/>
        </w:rPr>
        <w:t>(SAI),</w:t>
      </w:r>
      <w:r w:rsidRPr="000A4E63">
        <w:rPr>
          <w:rFonts w:ascii="Bookman Old Style" w:hAnsi="Bookman Old Style"/>
          <w:b/>
          <w:bCs/>
          <w:spacing w:val="-27"/>
          <w:sz w:val="22"/>
          <w:szCs w:val="22"/>
        </w:rPr>
        <w:t xml:space="preserve"> </w:t>
      </w:r>
      <w:r w:rsidRPr="000A4E63">
        <w:rPr>
          <w:rFonts w:ascii="Bookman Old Style" w:hAnsi="Bookman Old Style"/>
          <w:b/>
          <w:bCs/>
          <w:sz w:val="22"/>
          <w:szCs w:val="22"/>
        </w:rPr>
        <w:t>in</w:t>
      </w:r>
      <w:r w:rsidRPr="000A4E63">
        <w:rPr>
          <w:rFonts w:ascii="Bookman Old Style" w:hAnsi="Bookman Old Style"/>
          <w:spacing w:val="-34"/>
          <w:sz w:val="22"/>
          <w:szCs w:val="22"/>
        </w:rPr>
        <w:t xml:space="preserve"> </w:t>
      </w:r>
      <w:r w:rsidRPr="000A4E63">
        <w:rPr>
          <w:rFonts w:ascii="Bookman Old Style" w:eastAsia="Times New Roman" w:hAnsi="Bookman Old Style" w:cs="Times New Roman"/>
          <w:b/>
          <w:bCs/>
          <w:sz w:val="22"/>
          <w:szCs w:val="22"/>
        </w:rPr>
        <w:t>conseguenza della crisi politica in atto in Afghanistan.</w:t>
      </w:r>
    </w:p>
    <w:p w:rsidR="00281AC5" w:rsidRPr="000A4E63" w:rsidRDefault="00281AC5" w:rsidP="00281AC5">
      <w:pPr>
        <w:jc w:val="center"/>
        <w:rPr>
          <w:rFonts w:ascii="Bookman Old Style" w:eastAsia="Times New Roman" w:hAnsi="Bookman Old Style" w:cs="Times New Roman"/>
          <w:b/>
          <w:bCs/>
          <w:color w:val="002060"/>
          <w:sz w:val="22"/>
          <w:szCs w:val="22"/>
        </w:rPr>
      </w:pPr>
    </w:p>
    <w:p w:rsidR="00281AC5" w:rsidRPr="00950095" w:rsidRDefault="00281AC5" w:rsidP="00281AC5">
      <w:pPr>
        <w:pStyle w:val="Paragrafoelenco"/>
        <w:numPr>
          <w:ilvl w:val="0"/>
          <w:numId w:val="15"/>
        </w:numPr>
        <w:jc w:val="both"/>
        <w:rPr>
          <w:rFonts w:ascii="Bookman Old Style" w:hAnsi="Bookman Old Style"/>
          <w:b/>
          <w:bCs/>
          <w:color w:val="FF0000"/>
        </w:rPr>
      </w:pPr>
      <w:r w:rsidRPr="00950095">
        <w:rPr>
          <w:rFonts w:ascii="Bookman Old Style" w:hAnsi="Bookman Old Style"/>
          <w:b/>
          <w:bCs/>
          <w:color w:val="FF0000"/>
        </w:rPr>
        <w:t>Istituzione del Fondo per la strategia di mobilità sostenibile per la lotta al cambiamento climatico e la riduzione delle emissioni (art. 1, comma 392)</w:t>
      </w:r>
    </w:p>
    <w:p w:rsidR="00281AC5" w:rsidRPr="000A4E63" w:rsidRDefault="00281AC5" w:rsidP="00281AC5">
      <w:pPr>
        <w:pStyle w:val="Corpotesto"/>
        <w:spacing w:before="11" w:line="247" w:lineRule="auto"/>
        <w:ind w:right="58"/>
        <w:rPr>
          <w:rFonts w:ascii="Bookman Old Style" w:hAnsi="Bookman Old Style"/>
          <w:b/>
          <w:bCs/>
          <w:sz w:val="22"/>
          <w:szCs w:val="22"/>
        </w:rPr>
      </w:pPr>
      <w:r>
        <w:rPr>
          <w:rFonts w:ascii="Bookman Old Style" w:hAnsi="Bookman Old Style"/>
          <w:sz w:val="22"/>
          <w:szCs w:val="22"/>
        </w:rPr>
        <w:t xml:space="preserve">Viene istituito il </w:t>
      </w:r>
      <w:r w:rsidRPr="000A4E63">
        <w:rPr>
          <w:rFonts w:ascii="Bookman Old Style" w:hAnsi="Bookman Old Style"/>
          <w:sz w:val="22"/>
          <w:szCs w:val="22"/>
        </w:rPr>
        <w:t xml:space="preserve">Fondo per la strategia di mobilità sostenibile, </w:t>
      </w:r>
      <w:r w:rsidRPr="000A4E63">
        <w:rPr>
          <w:rFonts w:ascii="Bookman Old Style" w:hAnsi="Bookman Old Style"/>
          <w:b/>
          <w:bCs/>
          <w:sz w:val="22"/>
          <w:szCs w:val="22"/>
        </w:rPr>
        <w:t>con una dotazione di 50 milioni di euro per ciascuno degli anni dal 2023 al 2026</w:t>
      </w:r>
      <w:r w:rsidRPr="000A4E63">
        <w:rPr>
          <w:rFonts w:ascii="Bookman Old Style" w:hAnsi="Bookman Old Style"/>
          <w:sz w:val="22"/>
          <w:szCs w:val="22"/>
        </w:rPr>
        <w:t>,</w:t>
      </w:r>
      <w:r w:rsidRPr="000A4E63">
        <w:rPr>
          <w:rFonts w:ascii="Bookman Old Style" w:hAnsi="Bookman Old Style"/>
          <w:b/>
          <w:bCs/>
          <w:sz w:val="22"/>
          <w:szCs w:val="22"/>
        </w:rPr>
        <w:t xml:space="preserve"> 150 milioni di euro per ciascuno degli anni 2027 e 2028, 200 milioni di euro per l'anno 2029,</w:t>
      </w:r>
      <w:r w:rsidRPr="000A4E63">
        <w:rPr>
          <w:rFonts w:ascii="Bookman Old Style" w:hAnsi="Bookman Old Style"/>
          <w:sz w:val="22"/>
          <w:szCs w:val="22"/>
        </w:rPr>
        <w:t xml:space="preserve"> </w:t>
      </w:r>
      <w:r w:rsidRPr="000A4E63">
        <w:rPr>
          <w:rFonts w:ascii="Bookman Old Style" w:hAnsi="Bookman Old Style"/>
          <w:b/>
          <w:bCs/>
          <w:sz w:val="22"/>
          <w:szCs w:val="22"/>
        </w:rPr>
        <w:t>300 milioni di euro per l'anno 2030 e 250 milioni di euro per ciascuno degli anni dal 2031 al 2034.</w:t>
      </w:r>
    </w:p>
    <w:p w:rsidR="00281AC5" w:rsidRPr="000A4E63" w:rsidRDefault="00281AC5" w:rsidP="00281AC5">
      <w:pPr>
        <w:jc w:val="center"/>
        <w:rPr>
          <w:rFonts w:ascii="Bookman Old Style" w:eastAsia="Times New Roman" w:hAnsi="Bookman Old Style"/>
          <w:sz w:val="22"/>
          <w:szCs w:val="22"/>
        </w:rPr>
      </w:pPr>
    </w:p>
    <w:p w:rsidR="00281AC5" w:rsidRPr="00950095" w:rsidRDefault="00281AC5" w:rsidP="00950095">
      <w:pPr>
        <w:pStyle w:val="Paragrafoelenco"/>
        <w:numPr>
          <w:ilvl w:val="0"/>
          <w:numId w:val="15"/>
        </w:numPr>
        <w:jc w:val="both"/>
        <w:rPr>
          <w:rFonts w:ascii="Bookman Old Style" w:hAnsi="Bookman Old Style"/>
          <w:b/>
          <w:bCs/>
          <w:color w:val="FF0000"/>
        </w:rPr>
      </w:pPr>
      <w:r w:rsidRPr="00950095">
        <w:rPr>
          <w:rFonts w:ascii="Bookman Old Style" w:hAnsi="Bookman Old Style"/>
          <w:b/>
          <w:bCs/>
          <w:color w:val="FF0000"/>
        </w:rPr>
        <w:t>Metropolitane nelle grandi aree urbane (art. 1, comma 393)</w:t>
      </w:r>
    </w:p>
    <w:p w:rsidR="00281AC5" w:rsidRPr="000A4E63" w:rsidRDefault="00281AC5" w:rsidP="00E3456B">
      <w:pPr>
        <w:pStyle w:val="Corpotesto"/>
        <w:widowControl/>
        <w:spacing w:before="11" w:line="244" w:lineRule="auto"/>
        <w:ind w:right="31"/>
        <w:rPr>
          <w:rFonts w:ascii="Bookman Old Style" w:hAnsi="Bookman Old Style"/>
          <w:sz w:val="22"/>
          <w:szCs w:val="22"/>
        </w:rPr>
      </w:pPr>
      <w:r w:rsidRPr="000A4E63">
        <w:rPr>
          <w:rFonts w:ascii="Bookman Old Style" w:hAnsi="Bookman Old Style"/>
          <w:sz w:val="22"/>
          <w:szCs w:val="22"/>
        </w:rPr>
        <w:t>Si prevede l'estensione della rete metropolitana e del trasporto rapido di massa nelle città di Genova, Milano (linee Ml, M2, M4), di Napoli (collegamento con Afragola), di Roma (linea C) e di Torino (linea 2).</w:t>
      </w:r>
    </w:p>
    <w:p w:rsidR="00281AC5" w:rsidRPr="000A4E63" w:rsidRDefault="00281AC5" w:rsidP="00281AC5">
      <w:pPr>
        <w:pStyle w:val="Corpotesto"/>
        <w:spacing w:line="242" w:lineRule="auto"/>
        <w:ind w:left="19" w:right="25"/>
        <w:rPr>
          <w:rFonts w:ascii="Bookman Old Style" w:hAnsi="Bookman Old Style"/>
          <w:sz w:val="22"/>
          <w:szCs w:val="22"/>
        </w:rPr>
      </w:pPr>
      <w:r w:rsidRPr="000A4E63">
        <w:rPr>
          <w:rFonts w:ascii="Bookman Old Style" w:hAnsi="Bookman Old Style"/>
          <w:sz w:val="22"/>
          <w:szCs w:val="22"/>
        </w:rPr>
        <w:t xml:space="preserve">A tal fine è autorizzata la spesa di </w:t>
      </w:r>
      <w:r w:rsidRPr="000A4E63">
        <w:rPr>
          <w:rFonts w:ascii="Bookman Old Style" w:hAnsi="Bookman Old Style"/>
          <w:b/>
          <w:bCs/>
          <w:sz w:val="22"/>
          <w:szCs w:val="22"/>
        </w:rPr>
        <w:t>50 milioni di euro per ciascuno degli anni 2022 e 2023, 100 milioni di euro per l'anno 2024, 200 milioni di euro per il 2025, 250 milioni di euro per l'anno 2026 e 300 milioni di euro per l'anno 2027, 350 milioni di euro per l'anno 2028 e 300 milioni di euro per ciascuno degli anni dal 2030 al 2036</w:t>
      </w:r>
      <w:r w:rsidRPr="000A4E63">
        <w:rPr>
          <w:rFonts w:ascii="Bookman Old Style" w:hAnsi="Bookman Old Style"/>
          <w:sz w:val="22"/>
          <w:szCs w:val="22"/>
        </w:rPr>
        <w:t>.</w:t>
      </w:r>
    </w:p>
    <w:p w:rsidR="00281AC5" w:rsidRPr="000A4E63" w:rsidRDefault="00281AC5" w:rsidP="00281AC5">
      <w:pPr>
        <w:pStyle w:val="Corpotesto"/>
        <w:spacing w:before="8"/>
        <w:ind w:left="23" w:right="17"/>
        <w:rPr>
          <w:rFonts w:ascii="Bookman Old Style" w:hAnsi="Bookman Old Style"/>
          <w:sz w:val="22"/>
          <w:szCs w:val="22"/>
        </w:rPr>
      </w:pPr>
      <w:r w:rsidRPr="000A4E63">
        <w:rPr>
          <w:rFonts w:ascii="Bookman Old Style" w:hAnsi="Bookman Old Style"/>
          <w:b/>
          <w:bCs/>
          <w:sz w:val="22"/>
          <w:szCs w:val="22"/>
        </w:rPr>
        <w:t>Entro il 28 febbraio 2022</w:t>
      </w:r>
      <w:r w:rsidRPr="000A4E63">
        <w:rPr>
          <w:rFonts w:ascii="Bookman Old Style" w:hAnsi="Bookman Old Style"/>
          <w:sz w:val="22"/>
          <w:szCs w:val="22"/>
        </w:rPr>
        <w:t xml:space="preserve"> saranno definite le modalità di assegnazione delle risorse, con particolare riferimento alla realizzazione della progettazione degli interventi ove non già disponibile. </w:t>
      </w:r>
    </w:p>
    <w:p w:rsidR="00281AC5" w:rsidRPr="000A4E63" w:rsidRDefault="00281AC5" w:rsidP="00281AC5">
      <w:pPr>
        <w:jc w:val="center"/>
        <w:rPr>
          <w:rFonts w:ascii="Bookman Old Style" w:hAnsi="Bookman Old Style" w:cs="TimesNewRomanPS-BoldItalicMT"/>
          <w:b/>
          <w:bCs/>
          <w:i/>
          <w:iCs/>
          <w:sz w:val="22"/>
          <w:szCs w:val="22"/>
        </w:rPr>
      </w:pPr>
    </w:p>
    <w:p w:rsidR="00281AC5" w:rsidRPr="00950095" w:rsidRDefault="00281AC5" w:rsidP="00950095">
      <w:pPr>
        <w:pStyle w:val="Paragrafoelenco"/>
        <w:numPr>
          <w:ilvl w:val="0"/>
          <w:numId w:val="15"/>
        </w:numPr>
        <w:jc w:val="both"/>
        <w:rPr>
          <w:rFonts w:ascii="Bookman Old Style" w:hAnsi="Bookman Old Style"/>
          <w:b/>
          <w:bCs/>
          <w:color w:val="FF0000"/>
        </w:rPr>
      </w:pPr>
      <w:r w:rsidRPr="00950095">
        <w:rPr>
          <w:rFonts w:ascii="Bookman Old Style" w:hAnsi="Bookman Old Style"/>
          <w:b/>
          <w:bCs/>
          <w:color w:val="FF0000"/>
        </w:rPr>
        <w:t>Incremento del Fondo per la revisione dei prezzi dei materiali nei contratti pubblici (art. 1, commi 398-399)</w:t>
      </w:r>
    </w:p>
    <w:p w:rsidR="00281AC5" w:rsidRPr="000A4E63" w:rsidRDefault="00281AC5" w:rsidP="00281AC5">
      <w:pPr>
        <w:pStyle w:val="Corpotesto"/>
        <w:spacing w:before="11"/>
        <w:ind w:left="22" w:right="17"/>
        <w:rPr>
          <w:rFonts w:ascii="Bookman Old Style" w:hAnsi="Bookman Old Style"/>
          <w:sz w:val="22"/>
          <w:szCs w:val="22"/>
        </w:rPr>
      </w:pPr>
      <w:r w:rsidRPr="000A4E63">
        <w:rPr>
          <w:rFonts w:ascii="Bookman Old Style" w:hAnsi="Bookman Old Style"/>
          <w:sz w:val="22"/>
          <w:szCs w:val="22"/>
        </w:rPr>
        <w:t xml:space="preserve">La </w:t>
      </w:r>
      <w:r>
        <w:rPr>
          <w:rFonts w:ascii="Bookman Old Style" w:hAnsi="Bookman Old Style"/>
          <w:sz w:val="22"/>
          <w:szCs w:val="22"/>
        </w:rPr>
        <w:t>norma</w:t>
      </w:r>
      <w:r w:rsidRPr="000A4E63">
        <w:rPr>
          <w:rFonts w:ascii="Bookman Old Style" w:hAnsi="Bookman Old Style"/>
          <w:sz w:val="22"/>
          <w:szCs w:val="22"/>
        </w:rPr>
        <w:t xml:space="preserve"> consente alle imprese di poter portare a compensazione, anche in deroga a quanto previsto dal codice dei contratti pubblici, </w:t>
      </w:r>
      <w:r w:rsidRPr="000A4E63">
        <w:rPr>
          <w:rFonts w:ascii="Bookman Old Style" w:hAnsi="Bookman Old Style"/>
          <w:b/>
          <w:bCs/>
          <w:sz w:val="22"/>
          <w:szCs w:val="22"/>
        </w:rPr>
        <w:t>per tutto il 2021</w:t>
      </w:r>
      <w:r w:rsidRPr="000A4E63">
        <w:rPr>
          <w:rFonts w:ascii="Bookman Old Style" w:hAnsi="Bookman Old Style"/>
          <w:sz w:val="22"/>
          <w:szCs w:val="22"/>
        </w:rPr>
        <w:t xml:space="preserve"> </w:t>
      </w:r>
      <w:r w:rsidRPr="000A4E63">
        <w:rPr>
          <w:rFonts w:ascii="Bookman Old Style" w:hAnsi="Bookman Old Style"/>
          <w:b/>
          <w:bCs/>
          <w:sz w:val="22"/>
          <w:szCs w:val="22"/>
        </w:rPr>
        <w:t>i maggiori costi sopportati a causa delle eventuali variazioni dei prezzi in aumento dei materiali da costruzione individuati con appositi decreti del Ministro delle infrastrutture e della mobilità sostenibili.</w:t>
      </w:r>
      <w:r w:rsidRPr="000A4E63">
        <w:rPr>
          <w:rFonts w:ascii="Bookman Old Style" w:hAnsi="Bookman Old Style"/>
          <w:sz w:val="22"/>
          <w:szCs w:val="22"/>
        </w:rPr>
        <w:t xml:space="preserve"> A tal fine si prevede un ulteriore decreto del Ministro delle infrastrutture e della mobilità sostenibili, da adottare entro il 31 marzo 2022, per individuare eventuali variazioni, in aumento o in diminuzione, superiori all'8 per cento, dei prezzi dei materiali da costruzione per il secondo semestre del 2021 e si provvede ad incrementare il fondo di cui al comma 8, del citato all'articolo </w:t>
      </w:r>
      <w:r w:rsidRPr="000A4E63">
        <w:rPr>
          <w:rFonts w:ascii="Bookman Old Style" w:hAnsi="Bookman Old Style"/>
          <w:i/>
          <w:sz w:val="22"/>
          <w:szCs w:val="22"/>
        </w:rPr>
        <w:t xml:space="preserve">1-septies </w:t>
      </w:r>
      <w:r w:rsidRPr="000A4E63">
        <w:rPr>
          <w:rFonts w:ascii="Bookman Old Style" w:hAnsi="Bookman Old Style"/>
          <w:sz w:val="22"/>
          <w:szCs w:val="22"/>
        </w:rPr>
        <w:t>del decreto-legge n. 73 del 2021 di ulteriori 100 milioni di euro per il</w:t>
      </w:r>
      <w:r w:rsidRPr="000A4E63">
        <w:rPr>
          <w:rFonts w:ascii="Bookman Old Style" w:hAnsi="Bookman Old Style"/>
          <w:spacing w:val="54"/>
          <w:sz w:val="22"/>
          <w:szCs w:val="22"/>
        </w:rPr>
        <w:t xml:space="preserve"> </w:t>
      </w:r>
      <w:r w:rsidRPr="000A4E63">
        <w:rPr>
          <w:rFonts w:ascii="Bookman Old Style" w:hAnsi="Bookman Old Style"/>
          <w:sz w:val="22"/>
          <w:szCs w:val="22"/>
        </w:rPr>
        <w:t>2022.</w:t>
      </w:r>
    </w:p>
    <w:p w:rsidR="00281AC5" w:rsidRPr="00D36FD9" w:rsidRDefault="00281AC5" w:rsidP="00281AC5">
      <w:pPr>
        <w:jc w:val="center"/>
        <w:rPr>
          <w:rFonts w:ascii="Bookman Old Style" w:eastAsia="Times New Roman" w:hAnsi="Bookman Old Style"/>
          <w:b/>
          <w:bCs/>
          <w:color w:val="002060"/>
          <w:sz w:val="22"/>
          <w:szCs w:val="22"/>
        </w:rPr>
      </w:pPr>
    </w:p>
    <w:p w:rsidR="00281AC5" w:rsidRPr="000A4E63" w:rsidRDefault="00281AC5" w:rsidP="00281AC5">
      <w:pPr>
        <w:jc w:val="center"/>
        <w:rPr>
          <w:rFonts w:ascii="Bookman Old Style" w:eastAsia="Times New Roman" w:hAnsi="Bookman Old Style"/>
          <w:b/>
          <w:bCs/>
          <w:color w:val="002060"/>
          <w:sz w:val="22"/>
          <w:szCs w:val="22"/>
        </w:rPr>
      </w:pPr>
    </w:p>
    <w:p w:rsidR="00281AC5" w:rsidRPr="00950095" w:rsidRDefault="00281AC5" w:rsidP="00950095">
      <w:pPr>
        <w:pStyle w:val="Paragrafoelenco"/>
        <w:numPr>
          <w:ilvl w:val="0"/>
          <w:numId w:val="15"/>
        </w:numPr>
        <w:jc w:val="both"/>
        <w:rPr>
          <w:rFonts w:ascii="Bookman Old Style" w:hAnsi="Bookman Old Style"/>
          <w:b/>
          <w:bCs/>
          <w:color w:val="FF0000"/>
        </w:rPr>
      </w:pPr>
      <w:r w:rsidRPr="00950095">
        <w:rPr>
          <w:rFonts w:ascii="Bookman Old Style" w:hAnsi="Bookman Old Style"/>
          <w:b/>
          <w:bCs/>
          <w:color w:val="FF0000"/>
        </w:rPr>
        <w:t>Infrastrutture stradali sostenibili delle Regioni, delle province e delle città metropolitane (art. 1, commi 405-406)</w:t>
      </w:r>
    </w:p>
    <w:p w:rsidR="00281AC5" w:rsidRPr="000A4E63" w:rsidRDefault="00281AC5" w:rsidP="00281AC5">
      <w:pPr>
        <w:jc w:val="both"/>
        <w:rPr>
          <w:rFonts w:ascii="Bookman Old Style" w:eastAsia="Times New Roman" w:hAnsi="Bookman Old Style"/>
          <w:sz w:val="22"/>
          <w:szCs w:val="22"/>
        </w:rPr>
      </w:pPr>
      <w:r w:rsidRPr="000A4E63">
        <w:rPr>
          <w:rFonts w:ascii="Bookman Old Style" w:eastAsia="Times New Roman" w:hAnsi="Bookman Old Style"/>
          <w:sz w:val="22"/>
          <w:szCs w:val="22"/>
        </w:rPr>
        <w:t xml:space="preserve">La norma prevede il riconoscimento di risorse per il finanziamento di interventi relativi a programmi straordinari di manutenzione ordinaria e adeguamento funzionale e resilienza ai cambiamenti climatici della </w:t>
      </w:r>
      <w:r w:rsidRPr="000A4E63">
        <w:rPr>
          <w:rFonts w:ascii="Bookman Old Style" w:eastAsia="Times New Roman" w:hAnsi="Bookman Old Style"/>
          <w:b/>
          <w:bCs/>
          <w:sz w:val="22"/>
          <w:szCs w:val="22"/>
        </w:rPr>
        <w:t>viabilità stradale di competenza di regioni, province e città metropolitane.</w:t>
      </w:r>
      <w:r w:rsidRPr="000A4E63">
        <w:rPr>
          <w:rFonts w:ascii="Bookman Old Style" w:eastAsia="Times New Roman" w:hAnsi="Bookman Old Style"/>
          <w:sz w:val="22"/>
          <w:szCs w:val="22"/>
        </w:rPr>
        <w:t xml:space="preserve"> Tra i criteri di assegnazione delle risorse sono inclusi quelli relativi alla vulnerabilità rispetto a fenomeni naturali, quali sisma e dissesto idrogeologico. </w:t>
      </w:r>
    </w:p>
    <w:p w:rsidR="00281AC5" w:rsidRPr="000A4E63" w:rsidRDefault="00281AC5" w:rsidP="00281AC5">
      <w:pPr>
        <w:jc w:val="both"/>
        <w:rPr>
          <w:rFonts w:ascii="Bookman Old Style" w:eastAsia="Times New Roman" w:hAnsi="Bookman Old Style"/>
          <w:b/>
          <w:bCs/>
          <w:sz w:val="22"/>
          <w:szCs w:val="22"/>
        </w:rPr>
      </w:pPr>
      <w:r w:rsidRPr="000A4E63">
        <w:rPr>
          <w:rFonts w:ascii="Bookman Old Style" w:eastAsia="Times New Roman" w:hAnsi="Bookman Old Style"/>
          <w:b/>
          <w:bCs/>
          <w:sz w:val="22"/>
          <w:szCs w:val="22"/>
        </w:rPr>
        <w:t>Per l’anno 2022 si prevedono 100 milioni di euro, per l’anno 2023 150 milioni di euro, per gli anni 2024 e 2025 200 milioni di euro, 300 milioni di euro per ciascuno degli anni dal 2026 al 2030 e 200 milioni di euro per ciascuno degli anni dal 2031 al 2036.</w:t>
      </w:r>
    </w:p>
    <w:p w:rsidR="00281AC5" w:rsidRPr="000A4E63" w:rsidRDefault="00281AC5" w:rsidP="00281AC5">
      <w:pPr>
        <w:jc w:val="both"/>
        <w:rPr>
          <w:rFonts w:ascii="Bookman Old Style" w:eastAsia="Times New Roman" w:hAnsi="Bookman Old Style"/>
          <w:sz w:val="22"/>
          <w:szCs w:val="22"/>
        </w:rPr>
      </w:pPr>
    </w:p>
    <w:p w:rsidR="00281AC5" w:rsidRPr="00950095" w:rsidRDefault="00281AC5" w:rsidP="00950095">
      <w:pPr>
        <w:pStyle w:val="Paragrafoelenco"/>
        <w:numPr>
          <w:ilvl w:val="0"/>
          <w:numId w:val="15"/>
        </w:numPr>
        <w:jc w:val="both"/>
        <w:rPr>
          <w:rFonts w:ascii="Bookman Old Style" w:hAnsi="Bookman Old Style"/>
          <w:b/>
          <w:bCs/>
          <w:color w:val="FF0000"/>
        </w:rPr>
      </w:pPr>
      <w:r w:rsidRPr="00950095">
        <w:rPr>
          <w:rFonts w:ascii="Bookman Old Style" w:hAnsi="Bookman Old Style"/>
          <w:b/>
          <w:bCs/>
          <w:color w:val="FF0000"/>
        </w:rPr>
        <w:t>Messa in sicurezza strade (art. 1, commi 407-414)</w:t>
      </w:r>
    </w:p>
    <w:p w:rsidR="00281AC5" w:rsidRPr="000A4E63" w:rsidRDefault="00281AC5" w:rsidP="00281AC5">
      <w:pPr>
        <w:jc w:val="both"/>
        <w:rPr>
          <w:rFonts w:ascii="Bookman Old Style" w:eastAsia="Times New Roman" w:hAnsi="Bookman Old Style"/>
          <w:sz w:val="22"/>
          <w:szCs w:val="22"/>
        </w:rPr>
      </w:pPr>
      <w:r w:rsidRPr="000A4E63">
        <w:rPr>
          <w:rFonts w:ascii="Bookman Old Style" w:eastAsia="Times New Roman" w:hAnsi="Bookman Old Style"/>
          <w:sz w:val="22"/>
          <w:szCs w:val="22"/>
        </w:rPr>
        <w:t xml:space="preserve">Vengono assegnati ai </w:t>
      </w:r>
      <w:r w:rsidRPr="000A4E63">
        <w:rPr>
          <w:rFonts w:ascii="Bookman Old Style" w:eastAsia="Times New Roman" w:hAnsi="Bookman Old Style"/>
          <w:b/>
          <w:bCs/>
          <w:sz w:val="22"/>
          <w:szCs w:val="22"/>
        </w:rPr>
        <w:t>Comuni 200 milioni di euro per il 2022 e 100 milioni di euro per il 2023 per investimenti finalizzati alla manutenzione straordinaria delle strade comunali, dei marciapiedi e dell’arredo urbano</w:t>
      </w:r>
      <w:r w:rsidRPr="000A4E63">
        <w:rPr>
          <w:rFonts w:ascii="Bookman Old Style" w:eastAsia="Times New Roman" w:hAnsi="Bookman Old Style"/>
          <w:sz w:val="22"/>
          <w:szCs w:val="22"/>
        </w:rPr>
        <w:t>. L’importo del contributo è modulato a seconda degli abitanti di ciascun Comune, in cifra fissa, a seconda della classe demografica di appartenenza (da 10mila euro per gli enti fino a 5mila abitanti, a 350mila euro per le città maggiori.</w:t>
      </w:r>
    </w:p>
    <w:p w:rsidR="00281AC5" w:rsidRPr="000A4E63" w:rsidRDefault="00281AC5" w:rsidP="00281AC5">
      <w:pPr>
        <w:jc w:val="center"/>
        <w:rPr>
          <w:rFonts w:ascii="Bookman Old Style" w:eastAsia="Times New Roman" w:hAnsi="Bookman Old Style"/>
          <w:b/>
          <w:bCs/>
          <w:color w:val="002060"/>
          <w:sz w:val="22"/>
          <w:szCs w:val="22"/>
        </w:rPr>
      </w:pPr>
    </w:p>
    <w:p w:rsidR="00281AC5" w:rsidRPr="00950095" w:rsidRDefault="00281AC5" w:rsidP="00281AC5">
      <w:pPr>
        <w:pStyle w:val="Paragrafoelenco"/>
        <w:numPr>
          <w:ilvl w:val="0"/>
          <w:numId w:val="15"/>
        </w:numPr>
        <w:jc w:val="both"/>
        <w:rPr>
          <w:rFonts w:ascii="Bookman Old Style" w:hAnsi="Bookman Old Style"/>
          <w:b/>
          <w:bCs/>
          <w:color w:val="FF0000"/>
        </w:rPr>
      </w:pPr>
      <w:r w:rsidRPr="00950095">
        <w:rPr>
          <w:rFonts w:ascii="Bookman Old Style" w:hAnsi="Bookman Old Style"/>
          <w:b/>
          <w:bCs/>
          <w:color w:val="FF0000"/>
        </w:rPr>
        <w:t>Rifinanziamento progettazione definitiva ed esecutiva a favore degli enti locali (art. 1, comma 415)</w:t>
      </w:r>
    </w:p>
    <w:p w:rsidR="00281AC5" w:rsidRDefault="00281AC5" w:rsidP="00281AC5">
      <w:pPr>
        <w:jc w:val="both"/>
        <w:rPr>
          <w:rFonts w:ascii="Bookman Old Style" w:eastAsia="Times New Roman" w:hAnsi="Bookman Old Style"/>
          <w:sz w:val="22"/>
          <w:szCs w:val="22"/>
        </w:rPr>
      </w:pPr>
      <w:r w:rsidRPr="000A4E63">
        <w:rPr>
          <w:rFonts w:ascii="Bookman Old Style" w:eastAsia="Times New Roman" w:hAnsi="Bookman Old Style"/>
          <w:sz w:val="22"/>
          <w:szCs w:val="22"/>
        </w:rPr>
        <w:t xml:space="preserve">La norma prevede </w:t>
      </w:r>
      <w:r w:rsidRPr="000A4E63">
        <w:rPr>
          <w:rFonts w:ascii="Bookman Old Style" w:eastAsia="Times New Roman" w:hAnsi="Bookman Old Style"/>
          <w:b/>
          <w:bCs/>
          <w:sz w:val="22"/>
          <w:szCs w:val="22"/>
        </w:rPr>
        <w:t xml:space="preserve">l’incremento di 150 milioni di euro per ciascuno degli anni 2022 e 2023 delle risorse assegnate agli enti locali per spesa di progettazione </w:t>
      </w:r>
      <w:r w:rsidRPr="00E3456B">
        <w:rPr>
          <w:rFonts w:ascii="Bookman Old Style" w:eastAsia="Times New Roman" w:hAnsi="Bookman Old Style"/>
          <w:sz w:val="22"/>
          <w:szCs w:val="22"/>
        </w:rPr>
        <w:t>definitiva ed esecutiva, relativa ad interventi di messa in sicurezza del territorio a rischio idrogeologico, di messa in sicurezza ed efficientamento energetico delle scuole, degli edifici pubblici e del patrimonio comunale, nonché per investimenti di messa in sicurezza di strade</w:t>
      </w:r>
      <w:r w:rsidRPr="000A4E63">
        <w:rPr>
          <w:rFonts w:ascii="Bookman Old Style" w:eastAsia="Times New Roman" w:hAnsi="Bookman Old Style"/>
          <w:sz w:val="22"/>
          <w:szCs w:val="22"/>
        </w:rPr>
        <w:t xml:space="preserve">. </w:t>
      </w:r>
      <w:r w:rsidR="00CC5475" w:rsidRPr="005F4AD2">
        <w:rPr>
          <w:rFonts w:ascii="Bookman Old Style" w:eastAsia="Times New Roman" w:hAnsi="Bookman Old Style"/>
          <w:sz w:val="22"/>
          <w:szCs w:val="22"/>
        </w:rPr>
        <w:t xml:space="preserve">È </w:t>
      </w:r>
      <w:r w:rsidRPr="005F4AD2">
        <w:rPr>
          <w:rFonts w:ascii="Bookman Old Style" w:eastAsia="Times New Roman" w:hAnsi="Bookman Old Style"/>
          <w:sz w:val="22"/>
          <w:szCs w:val="22"/>
        </w:rPr>
        <w:t xml:space="preserve">inoltre </w:t>
      </w:r>
      <w:r w:rsidR="005F4AD2" w:rsidRPr="00E3456B">
        <w:rPr>
          <w:rFonts w:ascii="Bookman Old Style" w:eastAsia="Times New Roman" w:hAnsi="Bookman Old Style"/>
          <w:sz w:val="22"/>
          <w:szCs w:val="22"/>
        </w:rPr>
        <w:t>assegnata la massima priorità nell’</w:t>
      </w:r>
      <w:r w:rsidRPr="005F4AD2">
        <w:rPr>
          <w:rFonts w:ascii="Bookman Old Style" w:eastAsia="Times New Roman" w:hAnsi="Bookman Old Style"/>
          <w:sz w:val="22"/>
          <w:szCs w:val="22"/>
        </w:rPr>
        <w:t>assegnazione dei contributi</w:t>
      </w:r>
      <w:r w:rsidR="005F4AD2" w:rsidRPr="00E3456B">
        <w:rPr>
          <w:rFonts w:ascii="Bookman Old Style" w:eastAsia="Times New Roman" w:hAnsi="Bookman Old Style"/>
          <w:sz w:val="22"/>
          <w:szCs w:val="22"/>
        </w:rPr>
        <w:t xml:space="preserve"> ai progetti connessi agli investimenti del PNRR</w:t>
      </w:r>
      <w:r w:rsidRPr="005F4AD2">
        <w:rPr>
          <w:rFonts w:ascii="Bookman Old Style" w:eastAsia="Times New Roman" w:hAnsi="Bookman Old Style"/>
          <w:sz w:val="22"/>
          <w:szCs w:val="22"/>
        </w:rPr>
        <w:t>.</w:t>
      </w:r>
    </w:p>
    <w:p w:rsidR="00281AC5" w:rsidRPr="000A4E63" w:rsidRDefault="00281AC5" w:rsidP="00281AC5">
      <w:pPr>
        <w:jc w:val="both"/>
        <w:rPr>
          <w:rFonts w:ascii="Bookman Old Style" w:eastAsia="Times New Roman" w:hAnsi="Bookman Old Style"/>
          <w:sz w:val="22"/>
          <w:szCs w:val="22"/>
        </w:rPr>
      </w:pPr>
    </w:p>
    <w:p w:rsidR="00281AC5" w:rsidRPr="000A4E63" w:rsidRDefault="00281AC5" w:rsidP="00281AC5">
      <w:pPr>
        <w:keepNext/>
        <w:jc w:val="center"/>
        <w:rPr>
          <w:rFonts w:ascii="Bookman Old Style" w:eastAsia="Times New Roman" w:hAnsi="Bookman Old Style"/>
          <w:b/>
          <w:bCs/>
          <w:color w:val="002060"/>
          <w:sz w:val="22"/>
          <w:szCs w:val="22"/>
        </w:rPr>
      </w:pPr>
    </w:p>
    <w:p w:rsidR="00281AC5" w:rsidRPr="00950095" w:rsidRDefault="00281AC5" w:rsidP="00950095">
      <w:pPr>
        <w:pStyle w:val="Paragrafoelenco"/>
        <w:numPr>
          <w:ilvl w:val="0"/>
          <w:numId w:val="15"/>
        </w:numPr>
        <w:jc w:val="both"/>
        <w:rPr>
          <w:rFonts w:ascii="Bookman Old Style" w:hAnsi="Bookman Old Style"/>
          <w:b/>
          <w:bCs/>
          <w:color w:val="FF0000"/>
        </w:rPr>
      </w:pPr>
      <w:r w:rsidRPr="00950095">
        <w:rPr>
          <w:rFonts w:ascii="Bookman Old Style" w:hAnsi="Bookman Old Style"/>
          <w:b/>
          <w:bCs/>
          <w:color w:val="FF0000"/>
        </w:rPr>
        <w:t>Rifinanziamento aree interne (art. 1, commi 418-419)</w:t>
      </w:r>
    </w:p>
    <w:p w:rsidR="00281AC5" w:rsidRDefault="00281AC5" w:rsidP="00281AC5">
      <w:pPr>
        <w:jc w:val="both"/>
        <w:rPr>
          <w:rFonts w:ascii="Bookman Old Style" w:eastAsia="Times New Roman" w:hAnsi="Bookman Old Style"/>
          <w:sz w:val="22"/>
          <w:szCs w:val="22"/>
        </w:rPr>
      </w:pPr>
      <w:r w:rsidRPr="000A4E63">
        <w:rPr>
          <w:rFonts w:ascii="Bookman Old Style" w:eastAsia="Times New Roman" w:hAnsi="Bookman Old Style"/>
          <w:sz w:val="22"/>
          <w:szCs w:val="22"/>
        </w:rPr>
        <w:t xml:space="preserve">Si dispone il rifinanziamento della Strategia Nazionale Aree interne con un incremento di </w:t>
      </w:r>
      <w:r w:rsidRPr="000A4E63">
        <w:rPr>
          <w:rFonts w:ascii="Bookman Old Style" w:eastAsia="Times New Roman" w:hAnsi="Bookman Old Style"/>
          <w:b/>
          <w:bCs/>
          <w:sz w:val="22"/>
          <w:szCs w:val="22"/>
        </w:rPr>
        <w:t>20 milioni per il 2023 e 30 milioni per il 2024</w:t>
      </w:r>
      <w:r w:rsidRPr="000A4E63">
        <w:rPr>
          <w:rFonts w:ascii="Bookman Old Style" w:eastAsia="Times New Roman" w:hAnsi="Bookman Old Style"/>
          <w:sz w:val="22"/>
          <w:szCs w:val="22"/>
        </w:rPr>
        <w:t xml:space="preserve"> per interventi di messa in sicurezza e manutenzione straordinaria della rete viaria delle aree interne.</w:t>
      </w:r>
    </w:p>
    <w:p w:rsidR="00F97B91" w:rsidRDefault="00F97B91" w:rsidP="00F97B91">
      <w:pPr>
        <w:pStyle w:val="Paragrafoelenco"/>
        <w:ind w:left="720" w:firstLine="0"/>
        <w:jc w:val="both"/>
        <w:rPr>
          <w:rFonts w:ascii="Bookman Old Style" w:hAnsi="Bookman Old Style"/>
        </w:rPr>
      </w:pPr>
    </w:p>
    <w:p w:rsidR="00EB70AD" w:rsidRDefault="00EB70AD" w:rsidP="00F97B91">
      <w:pPr>
        <w:pStyle w:val="Paragrafoelenco"/>
        <w:ind w:left="720" w:firstLine="0"/>
        <w:jc w:val="both"/>
        <w:rPr>
          <w:rFonts w:ascii="Bookman Old Style" w:hAnsi="Bookman Old Style"/>
        </w:rPr>
      </w:pPr>
    </w:p>
    <w:p w:rsidR="00EB70AD" w:rsidRPr="00F97B91" w:rsidRDefault="00EB70AD" w:rsidP="00F97B91">
      <w:pPr>
        <w:pStyle w:val="Paragrafoelenco"/>
        <w:ind w:left="720" w:firstLine="0"/>
        <w:jc w:val="both"/>
        <w:rPr>
          <w:rFonts w:ascii="Bookman Old Style" w:hAnsi="Bookman Old Style"/>
        </w:rPr>
      </w:pPr>
    </w:p>
    <w:p w:rsidR="000370B1" w:rsidRDefault="000370B1" w:rsidP="00F150AA">
      <w:pPr>
        <w:spacing w:line="252" w:lineRule="auto"/>
        <w:contextualSpacing/>
        <w:rPr>
          <w:rFonts w:ascii="Bookman Old Style" w:hAnsi="Bookman Old Style"/>
          <w:b/>
          <w:bCs/>
          <w:color w:val="002060"/>
          <w:sz w:val="22"/>
          <w:szCs w:val="22"/>
        </w:rPr>
      </w:pPr>
    </w:p>
    <w:p w:rsidR="00C8242C" w:rsidRPr="00950095" w:rsidRDefault="00C8242C" w:rsidP="00C8242C">
      <w:pPr>
        <w:pStyle w:val="Paragrafoelenco"/>
        <w:numPr>
          <w:ilvl w:val="0"/>
          <w:numId w:val="15"/>
        </w:numPr>
        <w:rPr>
          <w:rFonts w:ascii="Bookman Old Style" w:hAnsi="Bookman Old Style"/>
          <w:b/>
          <w:bCs/>
          <w:color w:val="FF0000"/>
        </w:rPr>
      </w:pPr>
      <w:r w:rsidRPr="00950095">
        <w:rPr>
          <w:rFonts w:ascii="Bookman Old Style" w:hAnsi="Bookman Old Style"/>
          <w:b/>
          <w:bCs/>
          <w:color w:val="FF0000"/>
        </w:rPr>
        <w:t>Ponti e viadotti (</w:t>
      </w:r>
      <w:r w:rsidR="00096E94" w:rsidRPr="00950095">
        <w:rPr>
          <w:rFonts w:ascii="Bookman Old Style" w:hAnsi="Bookman Old Style"/>
          <w:b/>
          <w:bCs/>
          <w:color w:val="FF0000"/>
        </w:rPr>
        <w:t xml:space="preserve">art. 1, </w:t>
      </w:r>
      <w:r w:rsidR="007026F9" w:rsidRPr="00950095">
        <w:rPr>
          <w:rFonts w:ascii="Bookman Old Style" w:hAnsi="Bookman Old Style"/>
          <w:b/>
          <w:bCs/>
          <w:color w:val="FF0000"/>
        </w:rPr>
        <w:t>commi 531</w:t>
      </w:r>
      <w:r w:rsidR="00096E94" w:rsidRPr="00950095">
        <w:rPr>
          <w:rFonts w:ascii="Bookman Old Style" w:hAnsi="Bookman Old Style"/>
          <w:b/>
          <w:bCs/>
          <w:color w:val="FF0000"/>
        </w:rPr>
        <w:t>-</w:t>
      </w:r>
      <w:r w:rsidR="009D1CE4" w:rsidRPr="00950095">
        <w:rPr>
          <w:rFonts w:ascii="Bookman Old Style" w:hAnsi="Bookman Old Style"/>
          <w:b/>
          <w:bCs/>
          <w:color w:val="FF0000"/>
        </w:rPr>
        <w:t>532</w:t>
      </w:r>
      <w:r w:rsidRPr="00950095">
        <w:rPr>
          <w:rFonts w:ascii="Bookman Old Style" w:hAnsi="Bookman Old Style"/>
          <w:b/>
          <w:bCs/>
          <w:color w:val="FF0000"/>
        </w:rPr>
        <w:t>)</w:t>
      </w:r>
    </w:p>
    <w:p w:rsidR="00C8242C" w:rsidRPr="000A4E63" w:rsidRDefault="00C8242C" w:rsidP="00C8242C">
      <w:pPr>
        <w:jc w:val="both"/>
        <w:rPr>
          <w:rFonts w:ascii="Bookman Old Style" w:hAnsi="Bookman Old Style"/>
          <w:sz w:val="22"/>
          <w:szCs w:val="22"/>
        </w:rPr>
      </w:pPr>
      <w:r w:rsidRPr="000A4E63">
        <w:rPr>
          <w:rFonts w:ascii="Bookman Old Style" w:hAnsi="Bookman Old Style"/>
          <w:sz w:val="22"/>
          <w:szCs w:val="22"/>
        </w:rPr>
        <w:t xml:space="preserve">La norma assegna ulteriori risorse per </w:t>
      </w:r>
      <w:r w:rsidRPr="000A4E63">
        <w:rPr>
          <w:rFonts w:ascii="Bookman Old Style" w:hAnsi="Bookman Old Style"/>
          <w:b/>
          <w:bCs/>
          <w:sz w:val="22"/>
          <w:szCs w:val="22"/>
        </w:rPr>
        <w:t xml:space="preserve">ponti e viadotti di province e città metropolitane </w:t>
      </w:r>
      <w:r w:rsidRPr="000A4E63">
        <w:rPr>
          <w:rFonts w:ascii="Bookman Old Style" w:hAnsi="Bookman Old Style"/>
          <w:sz w:val="22"/>
          <w:szCs w:val="22"/>
        </w:rPr>
        <w:t xml:space="preserve">nel limite complessivo di </w:t>
      </w:r>
      <w:r w:rsidRPr="000A4E63">
        <w:rPr>
          <w:rFonts w:ascii="Bookman Old Style" w:hAnsi="Bookman Old Style"/>
          <w:b/>
          <w:bCs/>
          <w:sz w:val="22"/>
          <w:szCs w:val="22"/>
        </w:rPr>
        <w:t>100 milioni di euro per ciascuno degli anni 2024 e 2025 e 300 milioni di euro per ciascuno degli anni dal 2026 al 2029.</w:t>
      </w:r>
      <w:r w:rsidRPr="000A4E63">
        <w:rPr>
          <w:rFonts w:ascii="Bookman Old Style" w:hAnsi="Bookman Old Style"/>
          <w:sz w:val="22"/>
          <w:szCs w:val="22"/>
        </w:rPr>
        <w:t xml:space="preserve"> Tali contributi sono assegnati con decreto MIMS di concerto con MEF da emanare entro il 30 giugno 2023</w:t>
      </w:r>
      <w:r w:rsidR="00EB70AD">
        <w:rPr>
          <w:rFonts w:ascii="Bookman Old Style" w:hAnsi="Bookman Old Style"/>
          <w:sz w:val="22"/>
          <w:szCs w:val="22"/>
        </w:rPr>
        <w:t xml:space="preserve">, previa Intesa in Conferenza Stato Città. </w:t>
      </w:r>
      <w:r w:rsidRPr="000A4E63">
        <w:rPr>
          <w:rFonts w:ascii="Bookman Old Style" w:hAnsi="Bookman Old Style"/>
          <w:sz w:val="22"/>
          <w:szCs w:val="22"/>
        </w:rPr>
        <w:t>.</w:t>
      </w:r>
    </w:p>
    <w:p w:rsidR="00C8242C" w:rsidRPr="00950095" w:rsidRDefault="00C8242C" w:rsidP="00950095">
      <w:pPr>
        <w:pStyle w:val="Paragrafoelenco"/>
        <w:numPr>
          <w:ilvl w:val="0"/>
          <w:numId w:val="15"/>
        </w:numPr>
        <w:rPr>
          <w:rFonts w:ascii="Bookman Old Style" w:hAnsi="Bookman Old Style"/>
          <w:b/>
          <w:bCs/>
          <w:color w:val="FF0000"/>
        </w:rPr>
      </w:pPr>
    </w:p>
    <w:p w:rsidR="00C8242C" w:rsidRPr="00950095" w:rsidRDefault="00C8242C" w:rsidP="00C8242C">
      <w:pPr>
        <w:pStyle w:val="Paragrafoelenco"/>
        <w:numPr>
          <w:ilvl w:val="0"/>
          <w:numId w:val="15"/>
        </w:numPr>
        <w:rPr>
          <w:rFonts w:ascii="Bookman Old Style" w:hAnsi="Bookman Old Style"/>
          <w:b/>
          <w:bCs/>
          <w:color w:val="FF0000"/>
        </w:rPr>
      </w:pPr>
      <w:r w:rsidRPr="00950095">
        <w:rPr>
          <w:rFonts w:ascii="Bookman Old Style" w:hAnsi="Bookman Old Style"/>
          <w:b/>
          <w:bCs/>
          <w:color w:val="FF0000"/>
        </w:rPr>
        <w:t>Manutenzione scuole (</w:t>
      </w:r>
      <w:r w:rsidR="00096E94" w:rsidRPr="00950095">
        <w:rPr>
          <w:rFonts w:ascii="Bookman Old Style" w:hAnsi="Bookman Old Style"/>
          <w:b/>
          <w:bCs/>
          <w:color w:val="FF0000"/>
        </w:rPr>
        <w:t xml:space="preserve">art. 1, </w:t>
      </w:r>
      <w:r w:rsidR="00641604" w:rsidRPr="00950095">
        <w:rPr>
          <w:rFonts w:ascii="Bookman Old Style" w:hAnsi="Bookman Old Style"/>
          <w:b/>
          <w:bCs/>
          <w:color w:val="FF0000"/>
        </w:rPr>
        <w:t>comma 533</w:t>
      </w:r>
      <w:r w:rsidRPr="00950095">
        <w:rPr>
          <w:rFonts w:ascii="Bookman Old Style" w:hAnsi="Bookman Old Style"/>
          <w:b/>
          <w:bCs/>
          <w:color w:val="FF0000"/>
        </w:rPr>
        <w:t>)</w:t>
      </w:r>
    </w:p>
    <w:p w:rsidR="00C8242C" w:rsidRPr="000A4E63" w:rsidRDefault="00C8242C" w:rsidP="00C8242C">
      <w:pPr>
        <w:pStyle w:val="Corpotesto"/>
        <w:spacing w:before="1" w:line="230" w:lineRule="auto"/>
        <w:ind w:right="190"/>
        <w:rPr>
          <w:rFonts w:ascii="Bookman Old Style" w:eastAsiaTheme="minorHAnsi" w:hAnsi="Bookman Old Style" w:cstheme="minorBidi"/>
          <w:sz w:val="22"/>
          <w:szCs w:val="22"/>
        </w:rPr>
      </w:pPr>
      <w:r w:rsidRPr="000A4E63">
        <w:rPr>
          <w:rFonts w:ascii="Bookman Old Style" w:eastAsiaTheme="minorHAnsi" w:hAnsi="Bookman Old Style" w:cstheme="minorBidi"/>
          <w:sz w:val="22"/>
          <w:szCs w:val="22"/>
        </w:rPr>
        <w:t xml:space="preserve">Vengono </w:t>
      </w:r>
      <w:r w:rsidR="008563C6">
        <w:rPr>
          <w:rFonts w:ascii="Bookman Old Style" w:eastAsiaTheme="minorHAnsi" w:hAnsi="Bookman Old Style" w:cstheme="minorBidi"/>
          <w:sz w:val="22"/>
          <w:szCs w:val="22"/>
        </w:rPr>
        <w:t xml:space="preserve">incrementate le risorse </w:t>
      </w:r>
      <w:r w:rsidRPr="000A4E63">
        <w:rPr>
          <w:rFonts w:ascii="Bookman Old Style" w:eastAsiaTheme="minorHAnsi" w:hAnsi="Bookman Old Style" w:cstheme="minorBidi"/>
          <w:sz w:val="22"/>
          <w:szCs w:val="22"/>
        </w:rPr>
        <w:t xml:space="preserve"> a favore delle </w:t>
      </w:r>
      <w:r w:rsidR="00FD0700" w:rsidRPr="008D6AA9">
        <w:rPr>
          <w:rFonts w:ascii="Bookman Old Style" w:eastAsiaTheme="minorHAnsi" w:hAnsi="Bookman Old Style" w:cstheme="minorBidi"/>
          <w:b/>
          <w:sz w:val="22"/>
          <w:szCs w:val="22"/>
        </w:rPr>
        <w:t>C</w:t>
      </w:r>
      <w:r w:rsidRPr="008D6AA9">
        <w:rPr>
          <w:rFonts w:ascii="Bookman Old Style" w:eastAsiaTheme="minorHAnsi" w:hAnsi="Bookman Old Style" w:cstheme="minorBidi"/>
          <w:b/>
          <w:sz w:val="22"/>
          <w:szCs w:val="22"/>
        </w:rPr>
        <w:t xml:space="preserve">ittà </w:t>
      </w:r>
      <w:r w:rsidR="00FD0700" w:rsidRPr="008D6AA9">
        <w:rPr>
          <w:rFonts w:ascii="Bookman Old Style" w:eastAsiaTheme="minorHAnsi" w:hAnsi="Bookman Old Style" w:cstheme="minorBidi"/>
          <w:b/>
          <w:sz w:val="22"/>
          <w:szCs w:val="22"/>
        </w:rPr>
        <w:t>M</w:t>
      </w:r>
      <w:r w:rsidRPr="008D6AA9">
        <w:rPr>
          <w:rFonts w:ascii="Bookman Old Style" w:eastAsiaTheme="minorHAnsi" w:hAnsi="Bookman Old Style" w:cstheme="minorBidi"/>
          <w:b/>
          <w:sz w:val="22"/>
          <w:szCs w:val="22"/>
        </w:rPr>
        <w:t xml:space="preserve">etropolitane e delle </w:t>
      </w:r>
      <w:r w:rsidR="00FD0700" w:rsidRPr="008D6AA9">
        <w:rPr>
          <w:rFonts w:ascii="Bookman Old Style" w:eastAsiaTheme="minorHAnsi" w:hAnsi="Bookman Old Style" w:cstheme="minorBidi"/>
          <w:b/>
          <w:sz w:val="22"/>
          <w:szCs w:val="22"/>
        </w:rPr>
        <w:t>P</w:t>
      </w:r>
      <w:r w:rsidRPr="008D6AA9">
        <w:rPr>
          <w:rFonts w:ascii="Bookman Old Style" w:eastAsiaTheme="minorHAnsi" w:hAnsi="Bookman Old Style" w:cstheme="minorBidi"/>
          <w:b/>
          <w:sz w:val="22"/>
          <w:szCs w:val="22"/>
        </w:rPr>
        <w:t>rovince</w:t>
      </w:r>
      <w:r w:rsidRPr="000A4E63">
        <w:rPr>
          <w:rFonts w:ascii="Bookman Old Style" w:eastAsiaTheme="minorHAnsi" w:hAnsi="Bookman Old Style" w:cstheme="minorBidi"/>
          <w:sz w:val="22"/>
          <w:szCs w:val="22"/>
        </w:rPr>
        <w:t xml:space="preserve"> per interventi di </w:t>
      </w:r>
      <w:r w:rsidRPr="000A4E63">
        <w:rPr>
          <w:rFonts w:ascii="Bookman Old Style" w:eastAsiaTheme="minorHAnsi" w:hAnsi="Bookman Old Style" w:cstheme="minorBidi"/>
          <w:b/>
          <w:bCs/>
          <w:sz w:val="22"/>
          <w:szCs w:val="22"/>
        </w:rPr>
        <w:t>manutenzione straordinaria, di messa in sicurezza, di nuova costruzione, di incremento dell’efficienza energetica e di cablaggio interno delle scuole, nel limite complessivo di 525 milioni di euro per l’anno 2023, 530 milioni di euro per l’anno 2024, 235 milioni di euro per l’anno 2025</w:t>
      </w:r>
      <w:r w:rsidRPr="000A4E63">
        <w:rPr>
          <w:rFonts w:ascii="Bookman Old Style" w:eastAsiaTheme="minorHAnsi" w:hAnsi="Bookman Old Style" w:cstheme="minorBidi"/>
          <w:sz w:val="22"/>
          <w:szCs w:val="22"/>
        </w:rPr>
        <w:t xml:space="preserve">, </w:t>
      </w:r>
      <w:r w:rsidRPr="008D6AA9">
        <w:rPr>
          <w:rFonts w:ascii="Bookman Old Style" w:eastAsiaTheme="minorHAnsi" w:hAnsi="Bookman Old Style" w:cstheme="minorBidi"/>
          <w:b/>
          <w:sz w:val="22"/>
          <w:szCs w:val="22"/>
        </w:rPr>
        <w:t xml:space="preserve">245 milioni di euro per ciascuno degli anni 2026 e 2027, 250 milioni di euro per ciascuno degli anni 2028 e 2029, 260 milioni di euro per l’anno 2030, 335 milioni di euro per l’anno 2031 e 400 milioni di euro per ciascuno degli anni dal 2032 al 2036. </w:t>
      </w:r>
      <w:r w:rsidRPr="000A4E63">
        <w:rPr>
          <w:rFonts w:ascii="Bookman Old Style" w:eastAsiaTheme="minorHAnsi" w:hAnsi="Bookman Old Style" w:cstheme="minorBidi"/>
          <w:sz w:val="22"/>
          <w:szCs w:val="22"/>
        </w:rPr>
        <w:t xml:space="preserve">Tali contributi sono assegnati sulla base dei criteri definiti con DPCM, di concerto con il </w:t>
      </w:r>
      <w:r w:rsidR="005B1303">
        <w:rPr>
          <w:rFonts w:ascii="Bookman Old Style" w:eastAsiaTheme="minorHAnsi" w:hAnsi="Bookman Old Style" w:cstheme="minorBidi"/>
          <w:sz w:val="22"/>
          <w:szCs w:val="22"/>
        </w:rPr>
        <w:t>MEF</w:t>
      </w:r>
      <w:r w:rsidRPr="000A4E63">
        <w:rPr>
          <w:rFonts w:ascii="Bookman Old Style" w:eastAsiaTheme="minorHAnsi" w:hAnsi="Bookman Old Style" w:cstheme="minorBidi"/>
          <w:sz w:val="22"/>
          <w:szCs w:val="22"/>
        </w:rPr>
        <w:t xml:space="preserve"> e con il Ministro dell'istruzione, previa intesa in sede di Conferenza Stato-città ed autonomie locali, da adottar</w:t>
      </w:r>
      <w:r w:rsidR="009D0B6D">
        <w:rPr>
          <w:rFonts w:ascii="Bookman Old Style" w:eastAsiaTheme="minorHAnsi" w:hAnsi="Bookman Old Style" w:cstheme="minorBidi"/>
          <w:sz w:val="22"/>
          <w:szCs w:val="22"/>
        </w:rPr>
        <w:t xml:space="preserve">si entro il </w:t>
      </w:r>
      <w:r w:rsidR="009D0B6D" w:rsidRPr="0054199F">
        <w:rPr>
          <w:rFonts w:ascii="Bookman Old Style" w:eastAsiaTheme="minorHAnsi" w:hAnsi="Bookman Old Style" w:cstheme="minorBidi"/>
          <w:b/>
          <w:bCs/>
          <w:sz w:val="22"/>
          <w:szCs w:val="22"/>
        </w:rPr>
        <w:t xml:space="preserve">30 </w:t>
      </w:r>
      <w:r w:rsidR="00CC5475" w:rsidRPr="0054199F">
        <w:rPr>
          <w:rFonts w:ascii="Bookman Old Style" w:eastAsiaTheme="minorHAnsi" w:hAnsi="Bookman Old Style" w:cstheme="minorBidi"/>
          <w:b/>
          <w:bCs/>
          <w:sz w:val="22"/>
          <w:szCs w:val="22"/>
        </w:rPr>
        <w:t>giu</w:t>
      </w:r>
      <w:r w:rsidR="00CC5475">
        <w:rPr>
          <w:rFonts w:ascii="Bookman Old Style" w:eastAsiaTheme="minorHAnsi" w:hAnsi="Bookman Old Style" w:cstheme="minorBidi"/>
          <w:b/>
          <w:bCs/>
          <w:sz w:val="22"/>
          <w:szCs w:val="22"/>
        </w:rPr>
        <w:t>gn</w:t>
      </w:r>
      <w:r w:rsidR="00CC5475" w:rsidRPr="0054199F">
        <w:rPr>
          <w:rFonts w:ascii="Bookman Old Style" w:eastAsiaTheme="minorHAnsi" w:hAnsi="Bookman Old Style" w:cstheme="minorBidi"/>
          <w:b/>
          <w:bCs/>
          <w:sz w:val="22"/>
          <w:szCs w:val="22"/>
        </w:rPr>
        <w:t xml:space="preserve">o </w:t>
      </w:r>
      <w:r w:rsidR="009D0B6D" w:rsidRPr="0054199F">
        <w:rPr>
          <w:rFonts w:ascii="Bookman Old Style" w:eastAsiaTheme="minorHAnsi" w:hAnsi="Bookman Old Style" w:cstheme="minorBidi"/>
          <w:b/>
          <w:bCs/>
          <w:sz w:val="22"/>
          <w:szCs w:val="22"/>
        </w:rPr>
        <w:t>2022 per il periodo</w:t>
      </w:r>
      <w:r w:rsidR="00E63611" w:rsidRPr="0054199F">
        <w:rPr>
          <w:rFonts w:ascii="Bookman Old Style" w:eastAsiaTheme="minorHAnsi" w:hAnsi="Bookman Old Style" w:cstheme="minorBidi"/>
          <w:b/>
          <w:bCs/>
          <w:sz w:val="22"/>
          <w:szCs w:val="22"/>
        </w:rPr>
        <w:t xml:space="preserve"> </w:t>
      </w:r>
      <w:r w:rsidR="00CC5475" w:rsidRPr="0054199F">
        <w:rPr>
          <w:rFonts w:ascii="Bookman Old Style" w:eastAsiaTheme="minorHAnsi" w:hAnsi="Bookman Old Style" w:cstheme="minorBidi"/>
          <w:b/>
          <w:bCs/>
          <w:sz w:val="22"/>
          <w:szCs w:val="22"/>
        </w:rPr>
        <w:t>202</w:t>
      </w:r>
      <w:r w:rsidR="00CC5475">
        <w:rPr>
          <w:rFonts w:ascii="Bookman Old Style" w:eastAsiaTheme="minorHAnsi" w:hAnsi="Bookman Old Style" w:cstheme="minorBidi"/>
          <w:b/>
          <w:bCs/>
          <w:sz w:val="22"/>
          <w:szCs w:val="22"/>
        </w:rPr>
        <w:t>3</w:t>
      </w:r>
      <w:r w:rsidR="00E63611" w:rsidRPr="0054199F">
        <w:rPr>
          <w:rFonts w:ascii="Bookman Old Style" w:eastAsiaTheme="minorHAnsi" w:hAnsi="Bookman Old Style" w:cstheme="minorBidi"/>
          <w:b/>
          <w:bCs/>
          <w:sz w:val="22"/>
          <w:szCs w:val="22"/>
        </w:rPr>
        <w:t>-2029</w:t>
      </w:r>
      <w:r w:rsidR="00E63611">
        <w:rPr>
          <w:rFonts w:ascii="Bookman Old Style" w:eastAsiaTheme="minorHAnsi" w:hAnsi="Bookman Old Style" w:cstheme="minorBidi"/>
          <w:sz w:val="22"/>
          <w:szCs w:val="22"/>
        </w:rPr>
        <w:t xml:space="preserve"> ed </w:t>
      </w:r>
      <w:r w:rsidRPr="000A4E63">
        <w:rPr>
          <w:rFonts w:ascii="Bookman Old Style" w:eastAsiaTheme="minorHAnsi" w:hAnsi="Bookman Old Style" w:cstheme="minorBidi"/>
          <w:sz w:val="22"/>
          <w:szCs w:val="22"/>
        </w:rPr>
        <w:t xml:space="preserve"> entro il </w:t>
      </w:r>
      <w:r w:rsidRPr="00EB70AD">
        <w:rPr>
          <w:rFonts w:ascii="Bookman Old Style" w:eastAsiaTheme="minorHAnsi" w:hAnsi="Bookman Old Style" w:cstheme="minorBidi"/>
          <w:b/>
          <w:sz w:val="22"/>
          <w:szCs w:val="22"/>
        </w:rPr>
        <w:t>30 giugno 2029</w:t>
      </w:r>
      <w:r w:rsidR="00EF136D">
        <w:rPr>
          <w:rFonts w:ascii="Bookman Old Style" w:eastAsiaTheme="minorHAnsi" w:hAnsi="Bookman Old Style" w:cstheme="minorBidi"/>
          <w:sz w:val="22"/>
          <w:szCs w:val="22"/>
        </w:rPr>
        <w:t xml:space="preserve"> per il periodo 20</w:t>
      </w:r>
      <w:r w:rsidR="0054199F">
        <w:rPr>
          <w:rFonts w:ascii="Bookman Old Style" w:eastAsiaTheme="minorHAnsi" w:hAnsi="Bookman Old Style" w:cstheme="minorBidi"/>
          <w:sz w:val="22"/>
          <w:szCs w:val="22"/>
        </w:rPr>
        <w:t>30-2036.</w:t>
      </w:r>
    </w:p>
    <w:p w:rsidR="00C8242C" w:rsidRPr="000A4E63" w:rsidRDefault="00C8242C" w:rsidP="00C8242C">
      <w:pPr>
        <w:pStyle w:val="Corpotesto"/>
        <w:spacing w:before="1" w:line="230" w:lineRule="auto"/>
        <w:ind w:left="171" w:right="190"/>
        <w:rPr>
          <w:rFonts w:ascii="Bookman Old Style" w:eastAsiaTheme="minorHAnsi" w:hAnsi="Bookman Old Style" w:cstheme="minorBidi"/>
          <w:sz w:val="22"/>
          <w:szCs w:val="22"/>
        </w:rPr>
      </w:pPr>
    </w:p>
    <w:p w:rsidR="00C8242C" w:rsidRPr="000A4E63" w:rsidRDefault="00C8242C" w:rsidP="00C8242C">
      <w:pPr>
        <w:pStyle w:val="Corpotesto"/>
        <w:spacing w:before="1" w:line="230" w:lineRule="auto"/>
        <w:ind w:left="171" w:right="190"/>
        <w:rPr>
          <w:rFonts w:ascii="Bookman Old Style" w:eastAsiaTheme="minorHAnsi" w:hAnsi="Bookman Old Style" w:cstheme="minorBidi"/>
          <w:sz w:val="22"/>
          <w:szCs w:val="22"/>
        </w:rPr>
      </w:pPr>
    </w:p>
    <w:p w:rsidR="00C8242C" w:rsidRPr="00950095" w:rsidRDefault="00C8242C" w:rsidP="00950095">
      <w:pPr>
        <w:pStyle w:val="Paragrafoelenco"/>
        <w:numPr>
          <w:ilvl w:val="0"/>
          <w:numId w:val="15"/>
        </w:numPr>
        <w:rPr>
          <w:rFonts w:ascii="Bookman Old Style" w:hAnsi="Bookman Old Style"/>
          <w:b/>
          <w:bCs/>
          <w:color w:val="FF0000"/>
        </w:rPr>
      </w:pPr>
      <w:r w:rsidRPr="00950095">
        <w:rPr>
          <w:rFonts w:ascii="Bookman Old Style" w:hAnsi="Bookman Old Style"/>
          <w:b/>
          <w:bCs/>
          <w:color w:val="FF0000"/>
        </w:rPr>
        <w:t xml:space="preserve">Rigenerazione urbana per i </w:t>
      </w:r>
      <w:r w:rsidR="00E37717" w:rsidRPr="00950095">
        <w:rPr>
          <w:rFonts w:ascii="Bookman Old Style" w:hAnsi="Bookman Old Style"/>
          <w:b/>
          <w:bCs/>
          <w:color w:val="FF0000"/>
        </w:rPr>
        <w:t xml:space="preserve">Comuni </w:t>
      </w:r>
      <w:r w:rsidRPr="00950095">
        <w:rPr>
          <w:rFonts w:ascii="Bookman Old Style" w:hAnsi="Bookman Old Style"/>
          <w:b/>
          <w:bCs/>
          <w:color w:val="FF0000"/>
        </w:rPr>
        <w:t>con popolazione inferiore a 15.000 abitanti (</w:t>
      </w:r>
      <w:r w:rsidR="007525CD" w:rsidRPr="00950095">
        <w:rPr>
          <w:rFonts w:ascii="Bookman Old Style" w:hAnsi="Bookman Old Style"/>
          <w:b/>
          <w:bCs/>
          <w:color w:val="FF0000"/>
        </w:rPr>
        <w:t xml:space="preserve">art. 1, </w:t>
      </w:r>
      <w:r w:rsidR="006E03C9" w:rsidRPr="00950095">
        <w:rPr>
          <w:rFonts w:ascii="Bookman Old Style" w:hAnsi="Bookman Old Style"/>
          <w:b/>
          <w:bCs/>
          <w:color w:val="FF0000"/>
        </w:rPr>
        <w:t>commi 534</w:t>
      </w:r>
      <w:r w:rsidR="007525CD" w:rsidRPr="00950095">
        <w:rPr>
          <w:rFonts w:ascii="Bookman Old Style" w:hAnsi="Bookman Old Style"/>
          <w:b/>
          <w:bCs/>
          <w:color w:val="FF0000"/>
        </w:rPr>
        <w:t>-</w:t>
      </w:r>
      <w:r w:rsidR="006E03C9" w:rsidRPr="00950095">
        <w:rPr>
          <w:rFonts w:ascii="Bookman Old Style" w:hAnsi="Bookman Old Style"/>
          <w:b/>
          <w:bCs/>
          <w:color w:val="FF0000"/>
        </w:rPr>
        <w:t>542</w:t>
      </w:r>
      <w:r w:rsidRPr="00950095">
        <w:rPr>
          <w:rFonts w:ascii="Bookman Old Style" w:hAnsi="Bookman Old Style"/>
          <w:b/>
          <w:bCs/>
          <w:color w:val="FF0000"/>
        </w:rPr>
        <w:t>)</w:t>
      </w:r>
    </w:p>
    <w:p w:rsidR="00C8242C" w:rsidRPr="000A4E63" w:rsidRDefault="00C8242C" w:rsidP="00C8242C">
      <w:pPr>
        <w:pStyle w:val="Corpotesto"/>
        <w:spacing w:line="230" w:lineRule="auto"/>
        <w:ind w:right="181"/>
        <w:rPr>
          <w:rFonts w:ascii="Bookman Old Style" w:eastAsiaTheme="minorHAnsi" w:hAnsi="Bookman Old Style" w:cstheme="minorBidi"/>
          <w:sz w:val="22"/>
          <w:szCs w:val="22"/>
        </w:rPr>
      </w:pPr>
      <w:r w:rsidRPr="000A4E63">
        <w:rPr>
          <w:rFonts w:ascii="Bookman Old Style" w:eastAsiaTheme="minorHAnsi" w:hAnsi="Bookman Old Style" w:cstheme="minorBidi"/>
          <w:sz w:val="22"/>
          <w:szCs w:val="22"/>
        </w:rPr>
        <w:t xml:space="preserve">Vengono assegnati contributi per favorire investimenti in progetti di rigenerazione urbana volti a ridurre i fenomeni di marginalizzazione e degrado sociale e per migliorare la qualità del decoro urbano e del tessuto sociale ed ambientale anche ai comuni di medio-piccole dimensioni, nel limite complessivo </w:t>
      </w:r>
      <w:r w:rsidRPr="000A4E63">
        <w:rPr>
          <w:rFonts w:ascii="Bookman Old Style" w:eastAsiaTheme="minorHAnsi" w:hAnsi="Bookman Old Style" w:cstheme="minorBidi"/>
          <w:b/>
          <w:bCs/>
          <w:sz w:val="22"/>
          <w:szCs w:val="22"/>
        </w:rPr>
        <w:t xml:space="preserve">di </w:t>
      </w:r>
      <w:r w:rsidRPr="004C21F6">
        <w:rPr>
          <w:rFonts w:ascii="Bookman Old Style" w:eastAsiaTheme="minorHAnsi" w:hAnsi="Bookman Old Style" w:cstheme="minorBidi"/>
          <w:b/>
          <w:bCs/>
          <w:sz w:val="24"/>
          <w:szCs w:val="24"/>
        </w:rPr>
        <w:t>300 milioni</w:t>
      </w:r>
      <w:r w:rsidRPr="000A4E63">
        <w:rPr>
          <w:rFonts w:ascii="Bookman Old Style" w:eastAsiaTheme="minorHAnsi" w:hAnsi="Bookman Old Style" w:cstheme="minorBidi"/>
          <w:b/>
          <w:bCs/>
          <w:sz w:val="22"/>
          <w:szCs w:val="22"/>
        </w:rPr>
        <w:t xml:space="preserve"> di euro per l’anno 2022</w:t>
      </w:r>
      <w:r w:rsidRPr="000A4E63">
        <w:rPr>
          <w:rFonts w:ascii="Bookman Old Style" w:eastAsiaTheme="minorHAnsi" w:hAnsi="Bookman Old Style" w:cstheme="minorBidi"/>
          <w:sz w:val="22"/>
          <w:szCs w:val="22"/>
        </w:rPr>
        <w:t>.</w:t>
      </w:r>
    </w:p>
    <w:p w:rsidR="00C8242C" w:rsidRPr="000A4E63" w:rsidRDefault="00C8242C" w:rsidP="00C8242C">
      <w:pPr>
        <w:pStyle w:val="Corpotesto"/>
        <w:spacing w:line="253" w:lineRule="exact"/>
        <w:ind w:left="178"/>
        <w:rPr>
          <w:rFonts w:ascii="Bookman Old Style" w:eastAsiaTheme="minorHAnsi" w:hAnsi="Bookman Old Style" w:cstheme="minorBidi"/>
          <w:sz w:val="22"/>
          <w:szCs w:val="22"/>
        </w:rPr>
      </w:pPr>
      <w:r w:rsidRPr="000A4E63">
        <w:rPr>
          <w:rFonts w:ascii="Bookman Old Style" w:eastAsiaTheme="minorHAnsi" w:hAnsi="Bookman Old Style" w:cstheme="minorBidi"/>
          <w:sz w:val="22"/>
          <w:szCs w:val="22"/>
        </w:rPr>
        <w:t>In particolare, possono richiedere i contributi:</w:t>
      </w:r>
    </w:p>
    <w:p w:rsidR="00C8242C" w:rsidRPr="00D67538" w:rsidRDefault="00C8242C" w:rsidP="00D67538">
      <w:pPr>
        <w:pStyle w:val="Paragrafoelenco"/>
        <w:numPr>
          <w:ilvl w:val="0"/>
          <w:numId w:val="22"/>
        </w:numPr>
        <w:tabs>
          <w:tab w:val="left" w:pos="890"/>
        </w:tabs>
        <w:spacing w:before="8" w:line="228" w:lineRule="auto"/>
        <w:ind w:right="182"/>
        <w:jc w:val="both"/>
        <w:rPr>
          <w:rFonts w:ascii="Bookman Old Style" w:hAnsi="Bookman Old Style"/>
        </w:rPr>
      </w:pPr>
      <w:r w:rsidRPr="00D67538">
        <w:rPr>
          <w:rFonts w:ascii="Bookman Old Style" w:hAnsi="Bookman Old Style"/>
          <w:b/>
          <w:bCs/>
          <w:i/>
          <w:iCs/>
        </w:rPr>
        <w:t>i Comuni con popolazione inferiore a 15.000 abitanti che, in forma associata, presentano una popolazione superiore a 15.000 abitanti</w:t>
      </w:r>
      <w:r w:rsidRPr="00D67538">
        <w:rPr>
          <w:rFonts w:ascii="Bookman Old Style" w:hAnsi="Bookman Old Style"/>
        </w:rPr>
        <w:t xml:space="preserve">, nel limite massimo di 5.000.000 di euro. La domanda è presentata dal </w:t>
      </w:r>
      <w:r w:rsidR="00E37717">
        <w:rPr>
          <w:rFonts w:ascii="Bookman Old Style" w:hAnsi="Bookman Old Style"/>
        </w:rPr>
        <w:t>C</w:t>
      </w:r>
      <w:r w:rsidR="00E37717" w:rsidRPr="00D67538">
        <w:rPr>
          <w:rFonts w:ascii="Bookman Old Style" w:hAnsi="Bookman Old Style"/>
        </w:rPr>
        <w:t xml:space="preserve">omune </w:t>
      </w:r>
      <w:r w:rsidRPr="00D67538">
        <w:rPr>
          <w:rFonts w:ascii="Bookman Old Style" w:hAnsi="Bookman Old Style"/>
        </w:rPr>
        <w:t>capofila;</w:t>
      </w:r>
    </w:p>
    <w:p w:rsidR="00C8242C" w:rsidRPr="00E3456B" w:rsidRDefault="00C8242C" w:rsidP="00D67538">
      <w:pPr>
        <w:pStyle w:val="Paragrafoelenco"/>
        <w:numPr>
          <w:ilvl w:val="0"/>
          <w:numId w:val="22"/>
        </w:numPr>
        <w:tabs>
          <w:tab w:val="left" w:pos="890"/>
        </w:tabs>
        <w:spacing w:line="232" w:lineRule="auto"/>
        <w:ind w:right="172"/>
        <w:jc w:val="both"/>
        <w:rPr>
          <w:rFonts w:ascii="Bookman Old Style" w:hAnsi="Bookman Old Style"/>
          <w:b/>
          <w:bCs/>
          <w:i/>
          <w:iCs/>
        </w:rPr>
      </w:pPr>
      <w:r w:rsidRPr="000A4E63">
        <w:rPr>
          <w:rFonts w:ascii="Bookman Old Style" w:hAnsi="Bookman Old Style"/>
          <w:b/>
          <w:bCs/>
          <w:i/>
          <w:iCs/>
        </w:rPr>
        <w:t xml:space="preserve">i Comuni che non risultano beneficiari delle risorse attribuite con il decreto del Ministero dell’interno, </w:t>
      </w:r>
      <w:r w:rsidRPr="00E3456B">
        <w:rPr>
          <w:rFonts w:ascii="Bookman Old Style" w:hAnsi="Bookman Old Style"/>
          <w:i/>
          <w:iCs/>
        </w:rPr>
        <w:t>di concerto con il Ministero dell’economia e delle finanze e con il Ministero delle infrastrutture e dei trasporti di cui all’articolo 5 del decreto del Presidente del Consiglio dei ministri 21 gennaio 2021,</w:t>
      </w:r>
      <w:r w:rsidRPr="000A4E63">
        <w:rPr>
          <w:rFonts w:ascii="Bookman Old Style" w:hAnsi="Bookman Old Style"/>
          <w:b/>
          <w:bCs/>
          <w:i/>
          <w:iCs/>
        </w:rPr>
        <w:t xml:space="preserve"> </w:t>
      </w:r>
      <w:r w:rsidRPr="00E3456B">
        <w:rPr>
          <w:rFonts w:ascii="Bookman Old Style" w:hAnsi="Bookman Old Style"/>
          <w:b/>
          <w:bCs/>
          <w:i/>
          <w:iCs/>
        </w:rPr>
        <w:t>nel limite massimo della differenza tra gli importi previsti dall’ articolo 2, comma 2, del citato DPCM e le risorse attribuite dal predetto decreto del Ministero dell’interno.</w:t>
      </w:r>
    </w:p>
    <w:p w:rsidR="00C8242C" w:rsidRPr="000A4E63" w:rsidRDefault="00C8242C" w:rsidP="00C8242C">
      <w:pPr>
        <w:pStyle w:val="Corpotesto"/>
        <w:spacing w:line="232" w:lineRule="auto"/>
        <w:ind w:left="186" w:right="159"/>
        <w:rPr>
          <w:rFonts w:ascii="Bookman Old Style" w:eastAsiaTheme="minorHAnsi" w:hAnsi="Bookman Old Style" w:cstheme="minorBidi"/>
          <w:sz w:val="22"/>
          <w:szCs w:val="22"/>
        </w:rPr>
      </w:pPr>
      <w:r w:rsidRPr="000A4E63">
        <w:rPr>
          <w:rFonts w:ascii="Bookman Old Style" w:eastAsiaTheme="minorHAnsi" w:hAnsi="Bookman Old Style" w:cstheme="minorBidi"/>
          <w:sz w:val="22"/>
          <w:szCs w:val="22"/>
        </w:rPr>
        <w:t xml:space="preserve">Le richieste di contributo per singole opere pubbliche o insiemi coordinati di interventi pubblici devono essere comunicate dai </w:t>
      </w:r>
      <w:r w:rsidR="00CA4AC4">
        <w:rPr>
          <w:rFonts w:ascii="Bookman Old Style" w:eastAsiaTheme="minorHAnsi" w:hAnsi="Bookman Old Style" w:cstheme="minorBidi"/>
          <w:sz w:val="22"/>
          <w:szCs w:val="22"/>
        </w:rPr>
        <w:t>C</w:t>
      </w:r>
      <w:r w:rsidRPr="000A4E63">
        <w:rPr>
          <w:rFonts w:ascii="Bookman Old Style" w:eastAsiaTheme="minorHAnsi" w:hAnsi="Bookman Old Style" w:cstheme="minorBidi"/>
          <w:sz w:val="22"/>
          <w:szCs w:val="22"/>
        </w:rPr>
        <w:t xml:space="preserve">omuni beneficiari al Ministero dell’Interno entro il termine </w:t>
      </w:r>
      <w:r w:rsidRPr="000A4E63">
        <w:rPr>
          <w:rFonts w:ascii="Bookman Old Style" w:eastAsiaTheme="minorHAnsi" w:hAnsi="Bookman Old Style" w:cstheme="minorBidi"/>
          <w:b/>
          <w:bCs/>
          <w:sz w:val="22"/>
          <w:szCs w:val="22"/>
        </w:rPr>
        <w:t>perentorio del 31 marzo 2022</w:t>
      </w:r>
      <w:r w:rsidRPr="000A4E63">
        <w:rPr>
          <w:rFonts w:ascii="Bookman Old Style" w:eastAsiaTheme="minorHAnsi" w:hAnsi="Bookman Old Style" w:cstheme="minorBidi"/>
          <w:sz w:val="22"/>
          <w:szCs w:val="22"/>
        </w:rPr>
        <w:t xml:space="preserve">. </w:t>
      </w:r>
    </w:p>
    <w:p w:rsidR="00C8242C" w:rsidRDefault="00C8242C" w:rsidP="00C8242C">
      <w:pPr>
        <w:pStyle w:val="Corpotesto"/>
        <w:spacing w:line="232" w:lineRule="auto"/>
        <w:ind w:left="193" w:right="161"/>
        <w:rPr>
          <w:rFonts w:ascii="Bookman Old Style" w:eastAsiaTheme="minorHAnsi" w:hAnsi="Bookman Old Style" w:cstheme="minorBidi"/>
          <w:sz w:val="22"/>
          <w:szCs w:val="22"/>
        </w:rPr>
      </w:pPr>
      <w:r w:rsidRPr="000A4E63">
        <w:rPr>
          <w:rFonts w:ascii="Bookman Old Style" w:eastAsiaTheme="minorHAnsi" w:hAnsi="Bookman Old Style" w:cstheme="minorBidi"/>
          <w:sz w:val="22"/>
          <w:szCs w:val="22"/>
        </w:rPr>
        <w:t xml:space="preserve">L'ammontare del contributo attribuito a ciascun </w:t>
      </w:r>
      <w:r w:rsidR="00E37717">
        <w:rPr>
          <w:rFonts w:ascii="Bookman Old Style" w:eastAsiaTheme="minorHAnsi" w:hAnsi="Bookman Old Style" w:cstheme="minorBidi"/>
          <w:sz w:val="22"/>
          <w:szCs w:val="22"/>
        </w:rPr>
        <w:t>C</w:t>
      </w:r>
      <w:r w:rsidR="00E37717" w:rsidRPr="000A4E63">
        <w:rPr>
          <w:rFonts w:ascii="Bookman Old Style" w:eastAsiaTheme="minorHAnsi" w:hAnsi="Bookman Old Style" w:cstheme="minorBidi"/>
          <w:sz w:val="22"/>
          <w:szCs w:val="22"/>
        </w:rPr>
        <w:t xml:space="preserve">omune </w:t>
      </w:r>
      <w:r w:rsidRPr="000A4E63">
        <w:rPr>
          <w:rFonts w:ascii="Bookman Old Style" w:eastAsiaTheme="minorHAnsi" w:hAnsi="Bookman Old Style" w:cstheme="minorBidi"/>
          <w:sz w:val="22"/>
          <w:szCs w:val="22"/>
        </w:rPr>
        <w:t xml:space="preserve">è determinato con decreto del Ministero de1l'interno, di concerto con il Ministero dell’economia e delle finanze, da adottare entro il </w:t>
      </w:r>
      <w:r w:rsidRPr="000A4E63">
        <w:rPr>
          <w:rFonts w:ascii="Bookman Old Style" w:eastAsiaTheme="minorHAnsi" w:hAnsi="Bookman Old Style" w:cstheme="minorBidi"/>
          <w:b/>
          <w:bCs/>
          <w:sz w:val="22"/>
          <w:szCs w:val="22"/>
        </w:rPr>
        <w:t>30 giugno 2022.</w:t>
      </w:r>
      <w:r w:rsidRPr="000A4E63">
        <w:rPr>
          <w:rFonts w:ascii="Bookman Old Style" w:eastAsiaTheme="minorHAnsi" w:hAnsi="Bookman Old Style" w:cstheme="minorBidi"/>
          <w:sz w:val="22"/>
          <w:szCs w:val="22"/>
        </w:rPr>
        <w:t xml:space="preserve"> </w:t>
      </w:r>
    </w:p>
    <w:p w:rsidR="00212B0E" w:rsidRDefault="00212B0E" w:rsidP="00C8242C">
      <w:pPr>
        <w:pStyle w:val="Corpotesto"/>
        <w:spacing w:line="232" w:lineRule="auto"/>
        <w:ind w:left="193" w:right="161"/>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Qualora l’entità delle richieste superi </w:t>
      </w:r>
      <w:r w:rsidR="00315824">
        <w:rPr>
          <w:rFonts w:ascii="Bookman Old Style" w:eastAsiaTheme="minorHAnsi" w:hAnsi="Bookman Old Style" w:cstheme="minorBidi"/>
          <w:sz w:val="22"/>
          <w:szCs w:val="22"/>
        </w:rPr>
        <w:t>l’ammontare delle risorse disponibili</w:t>
      </w:r>
      <w:r w:rsidR="006B0076">
        <w:rPr>
          <w:rFonts w:ascii="Bookman Old Style" w:eastAsiaTheme="minorHAnsi" w:hAnsi="Bookman Old Style" w:cstheme="minorBidi"/>
          <w:sz w:val="22"/>
          <w:szCs w:val="22"/>
        </w:rPr>
        <w:t>, l’attribuzione è</w:t>
      </w:r>
      <w:r w:rsidR="00504B25">
        <w:rPr>
          <w:rFonts w:ascii="Bookman Old Style" w:eastAsiaTheme="minorHAnsi" w:hAnsi="Bookman Old Style" w:cstheme="minorBidi"/>
          <w:sz w:val="22"/>
          <w:szCs w:val="22"/>
        </w:rPr>
        <w:t xml:space="preserve"> effettuata a favore dei Comuni che presentano un valore più elevato </w:t>
      </w:r>
      <w:r w:rsidR="002A5986">
        <w:rPr>
          <w:rFonts w:ascii="Bookman Old Style" w:eastAsiaTheme="minorHAnsi" w:hAnsi="Bookman Old Style" w:cstheme="minorBidi"/>
          <w:sz w:val="22"/>
          <w:szCs w:val="22"/>
        </w:rPr>
        <w:t xml:space="preserve">dell’indice di vulnerabilità sociale e materiale (IVSM). </w:t>
      </w:r>
    </w:p>
    <w:p w:rsidR="00950095" w:rsidRDefault="00950095" w:rsidP="00C8242C">
      <w:pPr>
        <w:pStyle w:val="Corpotesto"/>
        <w:spacing w:line="232" w:lineRule="auto"/>
        <w:ind w:left="193" w:right="161"/>
        <w:rPr>
          <w:rFonts w:ascii="Bookman Old Style" w:eastAsiaTheme="minorHAnsi" w:hAnsi="Bookman Old Style" w:cstheme="minorBidi"/>
          <w:sz w:val="22"/>
          <w:szCs w:val="22"/>
        </w:rPr>
      </w:pPr>
    </w:p>
    <w:p w:rsidR="00950095" w:rsidRDefault="00950095" w:rsidP="00C8242C">
      <w:pPr>
        <w:pStyle w:val="Corpotesto"/>
        <w:spacing w:line="232" w:lineRule="auto"/>
        <w:ind w:left="193" w:right="161"/>
        <w:rPr>
          <w:rFonts w:ascii="Bookman Old Style" w:eastAsiaTheme="minorHAnsi" w:hAnsi="Bookman Old Style" w:cstheme="minorBidi"/>
          <w:sz w:val="22"/>
          <w:szCs w:val="22"/>
        </w:rPr>
      </w:pPr>
    </w:p>
    <w:p w:rsidR="00950095" w:rsidRDefault="00950095" w:rsidP="00C8242C">
      <w:pPr>
        <w:pStyle w:val="Corpotesto"/>
        <w:spacing w:line="232" w:lineRule="auto"/>
        <w:ind w:left="193" w:right="161"/>
        <w:rPr>
          <w:rFonts w:ascii="Bookman Old Style" w:eastAsiaTheme="minorHAnsi" w:hAnsi="Bookman Old Style" w:cstheme="minorBidi"/>
          <w:sz w:val="22"/>
          <w:szCs w:val="22"/>
        </w:rPr>
      </w:pPr>
    </w:p>
    <w:p w:rsidR="00950095" w:rsidRPr="000A4E63" w:rsidRDefault="00950095" w:rsidP="00C8242C">
      <w:pPr>
        <w:pStyle w:val="Corpotesto"/>
        <w:spacing w:line="232" w:lineRule="auto"/>
        <w:ind w:left="193" w:right="161"/>
        <w:rPr>
          <w:rFonts w:ascii="Bookman Old Style" w:eastAsiaTheme="minorHAnsi" w:hAnsi="Bookman Old Style" w:cstheme="minorBidi"/>
          <w:sz w:val="22"/>
          <w:szCs w:val="22"/>
        </w:rPr>
      </w:pPr>
    </w:p>
    <w:p w:rsidR="00C8242C" w:rsidRPr="000A4E63" w:rsidRDefault="00C8242C" w:rsidP="00C8242C">
      <w:pPr>
        <w:pStyle w:val="Corpotesto"/>
        <w:spacing w:line="232" w:lineRule="auto"/>
        <w:ind w:left="193" w:right="161"/>
        <w:rPr>
          <w:rFonts w:ascii="Bookman Old Style" w:eastAsiaTheme="minorHAnsi" w:hAnsi="Bookman Old Style" w:cstheme="minorBidi"/>
          <w:sz w:val="22"/>
          <w:szCs w:val="22"/>
        </w:rPr>
      </w:pPr>
    </w:p>
    <w:p w:rsidR="00C8242C" w:rsidRDefault="007525CD" w:rsidP="00C8242C">
      <w:pPr>
        <w:pStyle w:val="Corpotesto"/>
        <w:numPr>
          <w:ilvl w:val="0"/>
          <w:numId w:val="16"/>
        </w:numPr>
        <w:spacing w:line="232" w:lineRule="auto"/>
        <w:ind w:right="161"/>
        <w:jc w:val="left"/>
        <w:rPr>
          <w:rFonts w:ascii="Bookman Old Style" w:hAnsi="Bookman Old Style"/>
          <w:b/>
          <w:bCs/>
          <w:color w:val="FF0000"/>
          <w:sz w:val="22"/>
          <w:szCs w:val="22"/>
        </w:rPr>
      </w:pPr>
      <w:r w:rsidRPr="00950095">
        <w:rPr>
          <w:rFonts w:ascii="Bookman Old Style" w:eastAsiaTheme="minorHAnsi" w:hAnsi="Bookman Old Style" w:cstheme="minorBidi"/>
          <w:b/>
          <w:bCs/>
          <w:color w:val="FF0000"/>
          <w:sz w:val="22"/>
          <w:szCs w:val="22"/>
        </w:rPr>
        <w:t>F</w:t>
      </w:r>
      <w:r w:rsidRPr="00950095">
        <w:rPr>
          <w:rFonts w:ascii="Bookman Old Style" w:hAnsi="Bookman Old Style"/>
          <w:b/>
          <w:bCs/>
          <w:color w:val="FF0000"/>
          <w:sz w:val="22"/>
          <w:szCs w:val="22"/>
        </w:rPr>
        <w:t>ondi perequativi</w:t>
      </w:r>
      <w:r w:rsidR="00B1508D" w:rsidRPr="00950095">
        <w:rPr>
          <w:rFonts w:ascii="Bookman Old Style" w:hAnsi="Bookman Old Style"/>
          <w:b/>
          <w:bCs/>
          <w:color w:val="FF0000"/>
          <w:sz w:val="22"/>
          <w:szCs w:val="22"/>
        </w:rPr>
        <w:t>, f</w:t>
      </w:r>
      <w:r w:rsidR="00C8242C" w:rsidRPr="00950095">
        <w:rPr>
          <w:rFonts w:ascii="Bookman Old Style" w:hAnsi="Bookman Old Style"/>
          <w:b/>
          <w:bCs/>
          <w:color w:val="FF0000"/>
          <w:sz w:val="22"/>
          <w:szCs w:val="22"/>
        </w:rPr>
        <w:t>inanziamento e sviluppo delle funzioni fondamentali delle province e delle città metropolitane (</w:t>
      </w:r>
      <w:r w:rsidR="00B1508D" w:rsidRPr="00950095">
        <w:rPr>
          <w:rFonts w:ascii="Bookman Old Style" w:hAnsi="Bookman Old Style"/>
          <w:b/>
          <w:bCs/>
          <w:color w:val="FF0000"/>
          <w:sz w:val="22"/>
          <w:szCs w:val="22"/>
        </w:rPr>
        <w:t xml:space="preserve">art. 1, </w:t>
      </w:r>
      <w:r w:rsidR="006E03C9" w:rsidRPr="00950095">
        <w:rPr>
          <w:rFonts w:ascii="Bookman Old Style" w:hAnsi="Bookman Old Style"/>
          <w:b/>
          <w:bCs/>
          <w:color w:val="FF0000"/>
          <w:sz w:val="22"/>
          <w:szCs w:val="22"/>
        </w:rPr>
        <w:t>comm</w:t>
      </w:r>
      <w:r w:rsidR="00521A80" w:rsidRPr="00950095">
        <w:rPr>
          <w:rFonts w:ascii="Bookman Old Style" w:hAnsi="Bookman Old Style"/>
          <w:b/>
          <w:bCs/>
          <w:color w:val="FF0000"/>
          <w:sz w:val="22"/>
          <w:szCs w:val="22"/>
        </w:rPr>
        <w:t>a 561</w:t>
      </w:r>
      <w:r w:rsidR="00C8242C" w:rsidRPr="00950095">
        <w:rPr>
          <w:rFonts w:ascii="Bookman Old Style" w:hAnsi="Bookman Old Style"/>
          <w:b/>
          <w:bCs/>
          <w:color w:val="FF0000"/>
          <w:sz w:val="22"/>
          <w:szCs w:val="22"/>
        </w:rPr>
        <w:t>)</w:t>
      </w:r>
    </w:p>
    <w:p w:rsidR="00950095" w:rsidRPr="00950095" w:rsidRDefault="00950095" w:rsidP="00950095">
      <w:pPr>
        <w:pStyle w:val="Corpotesto"/>
        <w:spacing w:line="232" w:lineRule="auto"/>
        <w:ind w:left="720" w:right="161"/>
        <w:jc w:val="left"/>
        <w:rPr>
          <w:rFonts w:ascii="Bookman Old Style" w:hAnsi="Bookman Old Style"/>
          <w:b/>
          <w:bCs/>
          <w:color w:val="FF0000"/>
          <w:sz w:val="22"/>
          <w:szCs w:val="22"/>
        </w:rPr>
      </w:pPr>
    </w:p>
    <w:p w:rsidR="00C8242C" w:rsidRPr="0063191E" w:rsidRDefault="00C8242C" w:rsidP="00C8242C">
      <w:pPr>
        <w:pStyle w:val="Corpotesto"/>
        <w:spacing w:line="232" w:lineRule="auto"/>
        <w:ind w:right="161"/>
        <w:rPr>
          <w:rFonts w:ascii="Bookman Old Style" w:eastAsiaTheme="minorHAnsi" w:hAnsi="Bookman Old Style" w:cstheme="minorBidi"/>
          <w:sz w:val="22"/>
          <w:szCs w:val="22"/>
        </w:rPr>
      </w:pPr>
      <w:r w:rsidRPr="000A4E63">
        <w:rPr>
          <w:rFonts w:ascii="Bookman Old Style" w:eastAsiaTheme="minorHAnsi" w:hAnsi="Bookman Old Style" w:cstheme="minorBidi"/>
          <w:sz w:val="22"/>
          <w:szCs w:val="22"/>
        </w:rPr>
        <w:t xml:space="preserve">La norma prevede per il finanziamento e lo sviluppo delle funzioni fondamentali delle province e delle città metropolitane un aumento graduale del contributo. </w:t>
      </w:r>
      <w:r w:rsidRPr="000A4E63">
        <w:rPr>
          <w:rFonts w:ascii="Bookman Old Style" w:eastAsiaTheme="minorHAnsi" w:hAnsi="Bookman Old Style" w:cstheme="minorBidi"/>
          <w:b/>
          <w:bCs/>
          <w:sz w:val="22"/>
          <w:szCs w:val="22"/>
        </w:rPr>
        <w:t>Si prevede quindi un contributo di 80 milioni di euro per l’anno 2022, di 100 milioni di euro per l’anno 2023,</w:t>
      </w:r>
      <w:r w:rsidRPr="000A4E63">
        <w:rPr>
          <w:rFonts w:ascii="Bookman Old Style" w:eastAsiaTheme="minorHAnsi" w:hAnsi="Bookman Old Style" w:cstheme="minorBidi"/>
          <w:sz w:val="22"/>
          <w:szCs w:val="22"/>
        </w:rPr>
        <w:t xml:space="preserve"> </w:t>
      </w:r>
      <w:r w:rsidRPr="0063191E">
        <w:rPr>
          <w:rFonts w:ascii="Bookman Old Style" w:eastAsiaTheme="minorHAnsi" w:hAnsi="Bookman Old Style" w:cstheme="minorBidi"/>
          <w:sz w:val="22"/>
          <w:szCs w:val="22"/>
        </w:rPr>
        <w:t>di 130 milioni di euro per l’anno 2024, di 150 milioni di euro per l’anno 2025, di 200 milioni di euro per l’anno 2026, di 250 milioni di euro per l’anno 2027, di 300 milioni di euro per l’anno 2028, di 400 milioni di euro per l’anno 2029, di 500 milioni di euro per l’anno 2030 e di 600 milioni di euro a decorrere dall’anno 2031.</w:t>
      </w:r>
    </w:p>
    <w:p w:rsidR="0043015D" w:rsidRPr="0025535E" w:rsidRDefault="0043015D" w:rsidP="0043015D">
      <w:pPr>
        <w:pStyle w:val="Corpotesto"/>
        <w:spacing w:line="232" w:lineRule="auto"/>
        <w:ind w:right="161"/>
        <w:rPr>
          <w:rFonts w:ascii="Bookman Old Style" w:hAnsi="Bookman Old Style"/>
          <w:b/>
          <w:bCs/>
        </w:rPr>
      </w:pPr>
      <w:r w:rsidRPr="0025535E">
        <w:rPr>
          <w:rFonts w:ascii="Bookman Old Style" w:hAnsi="Bookman Old Style"/>
          <w:b/>
          <w:bCs/>
        </w:rPr>
        <w:t xml:space="preserve">Tali fondi sono ripartiti, su proposta della Commissione tecnica per i fabbisogni standard </w:t>
      </w:r>
      <w:r w:rsidR="0063191E" w:rsidRPr="0025535E">
        <w:rPr>
          <w:rFonts w:ascii="Bookman Old Style" w:hAnsi="Bookman Old Style"/>
          <w:b/>
          <w:bCs/>
        </w:rPr>
        <w:t xml:space="preserve">con decreto del Ministero dell’interno di concerto con il MEF, previa intesa in Conferenza Stato-città ed autonomie locali, da adottare </w:t>
      </w:r>
      <w:r w:rsidR="0063191E" w:rsidRPr="0025535E">
        <w:rPr>
          <w:rFonts w:ascii="Bookman Old Style" w:hAnsi="Bookman Old Style"/>
          <w:b/>
          <w:bCs/>
          <w:i/>
          <w:iCs/>
          <w:u w:val="single"/>
        </w:rPr>
        <w:t xml:space="preserve">entro il 28 febbraio 2022 </w:t>
      </w:r>
      <w:r w:rsidR="0063191E" w:rsidRPr="0025535E">
        <w:rPr>
          <w:rFonts w:ascii="Bookman Old Style" w:hAnsi="Bookman Old Style"/>
          <w:b/>
          <w:bCs/>
        </w:rPr>
        <w:t>con riferimento al triennio 2022-2024 ed entro il 31 ottobre di ciascun anno precedente al triennio di riferimento per gli anni successivi.</w:t>
      </w:r>
    </w:p>
    <w:p w:rsidR="0049541E" w:rsidRPr="00950095" w:rsidRDefault="0049541E" w:rsidP="0043015D">
      <w:pPr>
        <w:pStyle w:val="Corpotesto"/>
        <w:spacing w:line="232" w:lineRule="auto"/>
        <w:ind w:right="161"/>
        <w:rPr>
          <w:rFonts w:ascii="Bookman Old Style" w:eastAsiaTheme="minorHAnsi" w:hAnsi="Bookman Old Style" w:cstheme="minorBidi"/>
          <w:b/>
          <w:bCs/>
          <w:color w:val="FF0000"/>
          <w:sz w:val="22"/>
          <w:szCs w:val="22"/>
        </w:rPr>
      </w:pPr>
    </w:p>
    <w:p w:rsidR="0049541E" w:rsidRPr="00950095" w:rsidRDefault="0049541E" w:rsidP="0049541E">
      <w:pPr>
        <w:pStyle w:val="art"/>
        <w:numPr>
          <w:ilvl w:val="0"/>
          <w:numId w:val="20"/>
        </w:numPr>
        <w:shd w:val="clear" w:color="auto" w:fill="FFFFFF"/>
        <w:spacing w:before="0" w:beforeAutospacing="0" w:after="0" w:afterAutospacing="0"/>
        <w:rPr>
          <w:rFonts w:ascii="Bookman Old Style" w:eastAsiaTheme="minorHAnsi" w:hAnsi="Bookman Old Style" w:cstheme="minorBidi"/>
          <w:b/>
          <w:bCs/>
          <w:color w:val="FF0000"/>
          <w:sz w:val="22"/>
          <w:szCs w:val="22"/>
          <w:lang w:eastAsia="en-US"/>
        </w:rPr>
      </w:pPr>
      <w:r w:rsidRPr="00950095">
        <w:rPr>
          <w:rFonts w:ascii="Bookman Old Style" w:eastAsiaTheme="minorHAnsi" w:hAnsi="Bookman Old Style" w:cstheme="minorBidi"/>
          <w:b/>
          <w:bCs/>
          <w:color w:val="FF0000"/>
          <w:sz w:val="22"/>
          <w:szCs w:val="22"/>
          <w:lang w:eastAsia="en-US"/>
        </w:rPr>
        <w:t>Misure per le assunzioni a tempo determinato per l’attuazione dei progetti del PNRR nelle Città metropolitane (</w:t>
      </w:r>
      <w:r w:rsidR="00B1508D" w:rsidRPr="00950095">
        <w:rPr>
          <w:rFonts w:ascii="Bookman Old Style" w:eastAsiaTheme="minorHAnsi" w:hAnsi="Bookman Old Style" w:cstheme="minorBidi"/>
          <w:b/>
          <w:bCs/>
          <w:color w:val="FF0000"/>
          <w:sz w:val="22"/>
          <w:szCs w:val="22"/>
          <w:lang w:eastAsia="en-US"/>
        </w:rPr>
        <w:t xml:space="preserve">art. 1, </w:t>
      </w:r>
      <w:r w:rsidR="00521A80" w:rsidRPr="00950095">
        <w:rPr>
          <w:rFonts w:ascii="Bookman Old Style" w:eastAsiaTheme="minorHAnsi" w:hAnsi="Bookman Old Style" w:cstheme="minorBidi"/>
          <w:b/>
          <w:bCs/>
          <w:color w:val="FF0000"/>
          <w:sz w:val="22"/>
          <w:szCs w:val="22"/>
          <w:lang w:eastAsia="en-US"/>
        </w:rPr>
        <w:t>comma 562</w:t>
      </w:r>
      <w:r w:rsidRPr="00950095">
        <w:rPr>
          <w:rFonts w:ascii="Bookman Old Style" w:eastAsiaTheme="minorHAnsi" w:hAnsi="Bookman Old Style" w:cstheme="minorBidi"/>
          <w:b/>
          <w:bCs/>
          <w:color w:val="FF0000"/>
          <w:sz w:val="22"/>
          <w:szCs w:val="22"/>
          <w:lang w:eastAsia="en-US"/>
        </w:rPr>
        <w:t>)</w:t>
      </w:r>
    </w:p>
    <w:p w:rsidR="0049541E" w:rsidRPr="0049541E" w:rsidRDefault="007A6A26" w:rsidP="0049541E">
      <w:pPr>
        <w:jc w:val="both"/>
        <w:rPr>
          <w:rFonts w:ascii="Bookman Old Style" w:hAnsi="Bookman Old Style"/>
          <w:sz w:val="22"/>
          <w:szCs w:val="22"/>
        </w:rPr>
      </w:pPr>
      <w:r>
        <w:rPr>
          <w:rFonts w:ascii="Bookman Old Style" w:hAnsi="Bookman Old Style"/>
          <w:sz w:val="22"/>
          <w:szCs w:val="22"/>
        </w:rPr>
        <w:t>La</w:t>
      </w:r>
      <w:r w:rsidR="0049541E" w:rsidRPr="0049541E">
        <w:rPr>
          <w:rFonts w:ascii="Bookman Old Style" w:hAnsi="Bookman Old Style"/>
          <w:sz w:val="22"/>
          <w:szCs w:val="22"/>
        </w:rPr>
        <w:t xml:space="preserve"> norma consente alle Città metropolitane, nell’individuazione del rapporto tra spese di personale ed entrate correnti ai fini della determinazione della capacità </w:t>
      </w:r>
      <w:proofErr w:type="spellStart"/>
      <w:r w:rsidR="0049541E" w:rsidRPr="0049541E">
        <w:rPr>
          <w:rFonts w:ascii="Bookman Old Style" w:hAnsi="Bookman Old Style"/>
          <w:sz w:val="22"/>
          <w:szCs w:val="22"/>
        </w:rPr>
        <w:t>assunzionale</w:t>
      </w:r>
      <w:proofErr w:type="spellEnd"/>
      <w:r w:rsidR="0049541E" w:rsidRPr="0049541E">
        <w:rPr>
          <w:rFonts w:ascii="Bookman Old Style" w:hAnsi="Bookman Old Style"/>
          <w:sz w:val="22"/>
          <w:szCs w:val="22"/>
        </w:rPr>
        <w:t xml:space="preserve"> a tempo indeterminato, di non considerare tra le spese di personale quelle effettuate con risorse proprie per assumere a tempo determinato il personale necessario per l’attuazione dei progetti previsti nel PNRR. Tali spese altresì non si computano ai fini della verifica del rispetto del limite di spesa per il personale riferito al valore medio del triennio 2011/2013.</w:t>
      </w:r>
    </w:p>
    <w:p w:rsidR="00C8242C" w:rsidRPr="00950095" w:rsidRDefault="00C8242C" w:rsidP="00950095">
      <w:pPr>
        <w:pStyle w:val="art"/>
        <w:numPr>
          <w:ilvl w:val="0"/>
          <w:numId w:val="20"/>
        </w:numPr>
        <w:shd w:val="clear" w:color="auto" w:fill="FFFFFF"/>
        <w:spacing w:before="0" w:beforeAutospacing="0" w:after="0" w:afterAutospacing="0"/>
        <w:rPr>
          <w:rFonts w:ascii="Bookman Old Style" w:eastAsiaTheme="minorHAnsi" w:hAnsi="Bookman Old Style" w:cstheme="minorBidi"/>
          <w:b/>
          <w:bCs/>
          <w:color w:val="FF0000"/>
          <w:sz w:val="22"/>
          <w:szCs w:val="22"/>
        </w:rPr>
      </w:pPr>
      <w:r w:rsidRPr="00950095">
        <w:rPr>
          <w:rFonts w:ascii="Bookman Old Style" w:eastAsiaTheme="minorHAnsi" w:hAnsi="Bookman Old Style" w:cstheme="minorBidi"/>
          <w:b/>
          <w:bCs/>
          <w:color w:val="FF0000"/>
          <w:sz w:val="22"/>
          <w:szCs w:val="22"/>
        </w:rPr>
        <w:t>Incremento fondo di solidarietà comunale per funzioni sociali</w:t>
      </w:r>
      <w:r w:rsidR="005A4D85" w:rsidRPr="00950095">
        <w:rPr>
          <w:rFonts w:ascii="Bookman Old Style" w:eastAsiaTheme="minorHAnsi" w:hAnsi="Bookman Old Style" w:cstheme="minorBidi"/>
          <w:b/>
          <w:bCs/>
          <w:color w:val="FF0000"/>
          <w:sz w:val="22"/>
          <w:szCs w:val="22"/>
        </w:rPr>
        <w:t>, Comuni della Sicilia e della Sardegna</w:t>
      </w:r>
      <w:r w:rsidRPr="00950095">
        <w:rPr>
          <w:rFonts w:ascii="Bookman Old Style" w:eastAsiaTheme="minorHAnsi" w:hAnsi="Bookman Old Style" w:cstheme="minorBidi"/>
          <w:b/>
          <w:bCs/>
          <w:color w:val="FF0000"/>
          <w:sz w:val="22"/>
          <w:szCs w:val="22"/>
        </w:rPr>
        <w:t xml:space="preserve"> (</w:t>
      </w:r>
      <w:r w:rsidR="00DC0E79" w:rsidRPr="00950095">
        <w:rPr>
          <w:rFonts w:ascii="Bookman Old Style" w:eastAsiaTheme="minorHAnsi" w:hAnsi="Bookman Old Style" w:cstheme="minorBidi"/>
          <w:b/>
          <w:bCs/>
          <w:color w:val="FF0000"/>
          <w:sz w:val="22"/>
          <w:szCs w:val="22"/>
        </w:rPr>
        <w:t xml:space="preserve">art. 1, </w:t>
      </w:r>
      <w:r w:rsidR="00E62FA9" w:rsidRPr="00950095">
        <w:rPr>
          <w:rFonts w:ascii="Bookman Old Style" w:eastAsiaTheme="minorHAnsi" w:hAnsi="Bookman Old Style" w:cstheme="minorBidi"/>
          <w:b/>
          <w:bCs/>
          <w:color w:val="FF0000"/>
          <w:sz w:val="22"/>
          <w:szCs w:val="22"/>
        </w:rPr>
        <w:t>comma 563</w:t>
      </w:r>
      <w:r w:rsidRPr="00950095">
        <w:rPr>
          <w:rFonts w:ascii="Bookman Old Style" w:eastAsiaTheme="minorHAnsi" w:hAnsi="Bookman Old Style" w:cstheme="minorBidi"/>
          <w:b/>
          <w:bCs/>
          <w:color w:val="FF0000"/>
          <w:sz w:val="22"/>
          <w:szCs w:val="22"/>
        </w:rPr>
        <w:t>)</w:t>
      </w:r>
    </w:p>
    <w:p w:rsidR="00E24D89" w:rsidRPr="00E3456B" w:rsidRDefault="003A4111" w:rsidP="00E3456B">
      <w:pPr>
        <w:adjustRightInd w:val="0"/>
        <w:jc w:val="both"/>
        <w:rPr>
          <w:rFonts w:ascii="Bookman Old Style" w:eastAsia="Times New Roman" w:hAnsi="Bookman Old Style" w:cs="Times New Roman"/>
          <w:sz w:val="22"/>
          <w:szCs w:val="22"/>
        </w:rPr>
      </w:pPr>
      <w:r w:rsidRPr="00E3456B">
        <w:rPr>
          <w:rFonts w:ascii="Bookman Old Style" w:eastAsia="Times New Roman" w:hAnsi="Bookman Old Style" w:cs="Times New Roman"/>
          <w:sz w:val="22"/>
          <w:szCs w:val="22"/>
        </w:rPr>
        <w:t>La norma</w:t>
      </w:r>
      <w:r w:rsidR="00774D64" w:rsidRPr="00E3456B">
        <w:rPr>
          <w:rFonts w:ascii="Bookman Old Style" w:eastAsia="Times New Roman" w:hAnsi="Bookman Old Style" w:cs="Times New Roman"/>
          <w:sz w:val="22"/>
          <w:szCs w:val="22"/>
        </w:rPr>
        <w:t xml:space="preserve"> </w:t>
      </w:r>
      <w:r w:rsidRPr="00E3456B">
        <w:rPr>
          <w:rFonts w:ascii="Bookman Old Style" w:eastAsia="Times New Roman" w:hAnsi="Bookman Old Style" w:cs="Times New Roman"/>
          <w:sz w:val="22"/>
          <w:szCs w:val="22"/>
        </w:rPr>
        <w:t xml:space="preserve">comporta </w:t>
      </w:r>
      <w:r w:rsidR="007A6A26" w:rsidRPr="00E3456B">
        <w:rPr>
          <w:rFonts w:ascii="Bookman Old Style" w:eastAsia="Times New Roman" w:hAnsi="Bookman Old Style" w:cs="Times New Roman"/>
          <w:sz w:val="22"/>
          <w:szCs w:val="22"/>
        </w:rPr>
        <w:t>l</w:t>
      </w:r>
      <w:r w:rsidR="00774D64" w:rsidRPr="00E3456B">
        <w:rPr>
          <w:rFonts w:ascii="Bookman Old Style" w:eastAsia="Times New Roman" w:hAnsi="Bookman Old Style" w:cs="Times New Roman"/>
          <w:sz w:val="22"/>
          <w:szCs w:val="22"/>
        </w:rPr>
        <w:t>’</w:t>
      </w:r>
      <w:r w:rsidRPr="00E3456B">
        <w:rPr>
          <w:rFonts w:ascii="Bookman Old Style" w:eastAsia="Times New Roman" w:hAnsi="Bookman Old Style" w:cs="Times New Roman"/>
          <w:sz w:val="22"/>
          <w:szCs w:val="22"/>
        </w:rPr>
        <w:t xml:space="preserve">incremento della dotazione del </w:t>
      </w:r>
      <w:r w:rsidR="00E24D89" w:rsidRPr="00E3456B">
        <w:rPr>
          <w:rFonts w:ascii="Bookman Old Style" w:eastAsia="Times New Roman" w:hAnsi="Bookman Old Style" w:cs="Times New Roman"/>
          <w:sz w:val="22"/>
          <w:szCs w:val="22"/>
        </w:rPr>
        <w:t xml:space="preserve">Fondo </w:t>
      </w:r>
      <w:r w:rsidRPr="00E3456B">
        <w:rPr>
          <w:rFonts w:ascii="Bookman Old Style" w:eastAsia="Times New Roman" w:hAnsi="Bookman Old Style" w:cs="Times New Roman"/>
          <w:sz w:val="22"/>
          <w:szCs w:val="22"/>
        </w:rPr>
        <w:t>di solidarietà</w:t>
      </w:r>
      <w:r w:rsidR="00774D64" w:rsidRPr="00E3456B">
        <w:rPr>
          <w:rFonts w:ascii="Bookman Old Style" w:eastAsia="Times New Roman" w:hAnsi="Bookman Old Style" w:cs="Times New Roman"/>
          <w:sz w:val="22"/>
          <w:szCs w:val="22"/>
        </w:rPr>
        <w:t xml:space="preserve"> </w:t>
      </w:r>
      <w:r w:rsidRPr="00E3456B">
        <w:rPr>
          <w:rFonts w:ascii="Bookman Old Style" w:eastAsia="Times New Roman" w:hAnsi="Bookman Old Style" w:cs="Times New Roman"/>
          <w:sz w:val="22"/>
          <w:szCs w:val="22"/>
        </w:rPr>
        <w:t xml:space="preserve">comunale di 44 milioni di euro per </w:t>
      </w:r>
      <w:r w:rsidR="00E24D89" w:rsidRPr="00E3456B">
        <w:rPr>
          <w:rFonts w:ascii="Bookman Old Style" w:eastAsia="Times New Roman" w:hAnsi="Bookman Old Style" w:cs="Times New Roman"/>
          <w:sz w:val="22"/>
          <w:szCs w:val="22"/>
        </w:rPr>
        <w:t xml:space="preserve">il </w:t>
      </w:r>
      <w:r w:rsidRPr="00E3456B">
        <w:rPr>
          <w:rFonts w:ascii="Bookman Old Style" w:eastAsia="Times New Roman" w:hAnsi="Bookman Old Style" w:cs="Times New Roman"/>
          <w:sz w:val="22"/>
          <w:szCs w:val="22"/>
        </w:rPr>
        <w:t>2022,</w:t>
      </w:r>
      <w:r w:rsidR="00774D64" w:rsidRPr="00E3456B">
        <w:rPr>
          <w:rFonts w:ascii="Bookman Old Style" w:eastAsia="Times New Roman" w:hAnsi="Bookman Old Style" w:cs="Times New Roman"/>
          <w:sz w:val="22"/>
          <w:szCs w:val="22"/>
        </w:rPr>
        <w:t xml:space="preserve"> </w:t>
      </w:r>
      <w:r w:rsidRPr="00E3456B">
        <w:rPr>
          <w:rFonts w:ascii="Bookman Old Style" w:eastAsia="Times New Roman" w:hAnsi="Bookman Old Style" w:cs="Times New Roman"/>
          <w:sz w:val="22"/>
          <w:szCs w:val="22"/>
        </w:rPr>
        <w:t xml:space="preserve">di 52 milioni </w:t>
      </w:r>
      <w:r w:rsidR="00E24D89" w:rsidRPr="00E3456B">
        <w:rPr>
          <w:rFonts w:ascii="Bookman Old Style" w:eastAsia="Times New Roman" w:hAnsi="Bookman Old Style" w:cs="Times New Roman"/>
          <w:sz w:val="22"/>
          <w:szCs w:val="22"/>
        </w:rPr>
        <w:t xml:space="preserve">per il </w:t>
      </w:r>
      <w:r w:rsidRPr="00E3456B">
        <w:rPr>
          <w:rFonts w:ascii="Bookman Old Style" w:eastAsia="Times New Roman" w:hAnsi="Bookman Old Style" w:cs="Times New Roman"/>
          <w:sz w:val="22"/>
          <w:szCs w:val="22"/>
        </w:rPr>
        <w:t xml:space="preserve">2023, di 60 milioni </w:t>
      </w:r>
      <w:r w:rsidR="00E24D89" w:rsidRPr="00E3456B">
        <w:rPr>
          <w:rFonts w:ascii="Bookman Old Style" w:eastAsia="Times New Roman" w:hAnsi="Bookman Old Style" w:cs="Times New Roman"/>
          <w:sz w:val="22"/>
          <w:szCs w:val="22"/>
        </w:rPr>
        <w:t xml:space="preserve">per il </w:t>
      </w:r>
      <w:r w:rsidRPr="00E3456B">
        <w:rPr>
          <w:rFonts w:ascii="Bookman Old Style" w:eastAsia="Times New Roman" w:hAnsi="Bookman Old Style" w:cs="Times New Roman"/>
          <w:sz w:val="22"/>
          <w:szCs w:val="22"/>
        </w:rPr>
        <w:t xml:space="preserve">2024, di 68 milioni </w:t>
      </w:r>
      <w:r w:rsidR="00E24D89" w:rsidRPr="00E3456B">
        <w:rPr>
          <w:rFonts w:ascii="Bookman Old Style" w:eastAsia="Times New Roman" w:hAnsi="Bookman Old Style" w:cs="Times New Roman"/>
          <w:sz w:val="22"/>
          <w:szCs w:val="22"/>
        </w:rPr>
        <w:t xml:space="preserve">per il </w:t>
      </w:r>
      <w:r w:rsidRPr="00E3456B">
        <w:rPr>
          <w:rFonts w:ascii="Bookman Old Style" w:eastAsia="Times New Roman" w:hAnsi="Bookman Old Style" w:cs="Times New Roman"/>
          <w:sz w:val="22"/>
          <w:szCs w:val="22"/>
        </w:rPr>
        <w:t xml:space="preserve">2025, di 77 milioni </w:t>
      </w:r>
      <w:r w:rsidR="00E24D89" w:rsidRPr="00E3456B">
        <w:rPr>
          <w:rFonts w:ascii="Bookman Old Style" w:eastAsia="Times New Roman" w:hAnsi="Bookman Old Style" w:cs="Times New Roman"/>
          <w:sz w:val="22"/>
          <w:szCs w:val="22"/>
        </w:rPr>
        <w:t xml:space="preserve">per il </w:t>
      </w:r>
      <w:r w:rsidRPr="00E3456B">
        <w:rPr>
          <w:rFonts w:ascii="Bookman Old Style" w:eastAsia="Times New Roman" w:hAnsi="Bookman Old Style" w:cs="Times New Roman"/>
          <w:sz w:val="22"/>
          <w:szCs w:val="22"/>
        </w:rPr>
        <w:t xml:space="preserve">2026, di 87 milioni </w:t>
      </w:r>
      <w:r w:rsidR="00E24D89" w:rsidRPr="00E3456B">
        <w:rPr>
          <w:rFonts w:ascii="Bookman Old Style" w:eastAsia="Times New Roman" w:hAnsi="Bookman Old Style" w:cs="Times New Roman"/>
          <w:sz w:val="22"/>
          <w:szCs w:val="22"/>
        </w:rPr>
        <w:t xml:space="preserve">per il </w:t>
      </w:r>
      <w:r w:rsidRPr="00E3456B">
        <w:rPr>
          <w:rFonts w:ascii="Bookman Old Style" w:eastAsia="Times New Roman" w:hAnsi="Bookman Old Style" w:cs="Times New Roman"/>
          <w:sz w:val="22"/>
          <w:szCs w:val="22"/>
        </w:rPr>
        <w:t xml:space="preserve">2027, di 97 milioni </w:t>
      </w:r>
      <w:r w:rsidR="00E24D89" w:rsidRPr="00E3456B">
        <w:rPr>
          <w:rFonts w:ascii="Bookman Old Style" w:eastAsia="Times New Roman" w:hAnsi="Bookman Old Style" w:cs="Times New Roman"/>
          <w:sz w:val="22"/>
          <w:szCs w:val="22"/>
        </w:rPr>
        <w:t xml:space="preserve">per il </w:t>
      </w:r>
      <w:r w:rsidRPr="00E3456B">
        <w:rPr>
          <w:rFonts w:ascii="Bookman Old Style" w:eastAsia="Times New Roman" w:hAnsi="Bookman Old Style" w:cs="Times New Roman"/>
          <w:sz w:val="22"/>
          <w:szCs w:val="22"/>
        </w:rPr>
        <w:t xml:space="preserve">2028, di 107 milioni </w:t>
      </w:r>
      <w:r w:rsidR="00E24D89" w:rsidRPr="00E3456B">
        <w:rPr>
          <w:rFonts w:ascii="Bookman Old Style" w:eastAsia="Times New Roman" w:hAnsi="Bookman Old Style" w:cs="Times New Roman"/>
          <w:sz w:val="22"/>
          <w:szCs w:val="22"/>
        </w:rPr>
        <w:t xml:space="preserve">per il </w:t>
      </w:r>
      <w:r w:rsidRPr="00E3456B">
        <w:rPr>
          <w:rFonts w:ascii="Bookman Old Style" w:eastAsia="Times New Roman" w:hAnsi="Bookman Old Style" w:cs="Times New Roman"/>
          <w:sz w:val="22"/>
          <w:szCs w:val="22"/>
        </w:rPr>
        <w:t>2029, di 113</w:t>
      </w:r>
      <w:r w:rsidR="00774D64" w:rsidRPr="00E3456B">
        <w:rPr>
          <w:rFonts w:ascii="Bookman Old Style" w:eastAsia="Times New Roman" w:hAnsi="Bookman Old Style" w:cs="Times New Roman"/>
          <w:sz w:val="22"/>
          <w:szCs w:val="22"/>
        </w:rPr>
        <w:t xml:space="preserve"> </w:t>
      </w:r>
      <w:r w:rsidRPr="00E3456B">
        <w:rPr>
          <w:rFonts w:ascii="Bookman Old Style" w:eastAsia="Times New Roman" w:hAnsi="Bookman Old Style" w:cs="Times New Roman"/>
          <w:sz w:val="22"/>
          <w:szCs w:val="22"/>
        </w:rPr>
        <w:t xml:space="preserve">milioni a decorrere </w:t>
      </w:r>
      <w:r w:rsidR="00E24D89" w:rsidRPr="00E3456B">
        <w:rPr>
          <w:rFonts w:ascii="Bookman Old Style" w:eastAsia="Times New Roman" w:hAnsi="Bookman Old Style" w:cs="Times New Roman"/>
          <w:sz w:val="22"/>
          <w:szCs w:val="22"/>
        </w:rPr>
        <w:t xml:space="preserve">dal </w:t>
      </w:r>
      <w:r w:rsidRPr="00E3456B">
        <w:rPr>
          <w:rFonts w:ascii="Bookman Old Style" w:eastAsia="Times New Roman" w:hAnsi="Bookman Old Style" w:cs="Times New Roman"/>
          <w:sz w:val="22"/>
          <w:szCs w:val="22"/>
        </w:rPr>
        <w:t xml:space="preserve">2030. </w:t>
      </w:r>
      <w:r w:rsidR="00E24D89" w:rsidRPr="005A4D85">
        <w:rPr>
          <w:rFonts w:ascii="Bookman Old Style" w:hAnsi="Bookman Old Style"/>
          <w:sz w:val="22"/>
          <w:szCs w:val="22"/>
        </w:rPr>
        <w:t xml:space="preserve">L’intervento è finalizzato ad assicurare anche ai </w:t>
      </w:r>
      <w:r w:rsidR="005D2883">
        <w:rPr>
          <w:rFonts w:ascii="Bookman Old Style" w:hAnsi="Bookman Old Style"/>
          <w:sz w:val="22"/>
          <w:szCs w:val="22"/>
        </w:rPr>
        <w:t>C</w:t>
      </w:r>
      <w:r w:rsidR="00E24D89" w:rsidRPr="005A4D85">
        <w:rPr>
          <w:rFonts w:ascii="Bookman Old Style" w:hAnsi="Bookman Old Style"/>
          <w:sz w:val="22"/>
          <w:szCs w:val="22"/>
        </w:rPr>
        <w:t xml:space="preserve">omuni della Sicilia e della Sardegna le risorse finanziarie per il perseguimento dei </w:t>
      </w:r>
      <w:proofErr w:type="spellStart"/>
      <w:r w:rsidR="00E24D89" w:rsidRPr="005A4D85">
        <w:rPr>
          <w:rFonts w:ascii="Bookman Old Style" w:hAnsi="Bookman Old Style"/>
          <w:sz w:val="22"/>
          <w:szCs w:val="22"/>
        </w:rPr>
        <w:t>Lep</w:t>
      </w:r>
      <w:proofErr w:type="spellEnd"/>
      <w:r w:rsidR="00E37717">
        <w:rPr>
          <w:rFonts w:ascii="Bookman Old Style" w:hAnsi="Bookman Old Style"/>
          <w:sz w:val="22"/>
          <w:szCs w:val="22"/>
        </w:rPr>
        <w:t>,</w:t>
      </w:r>
      <w:r w:rsidR="00E24D89" w:rsidRPr="005A4D85">
        <w:rPr>
          <w:rFonts w:ascii="Bookman Old Style" w:hAnsi="Bookman Old Style"/>
          <w:sz w:val="22"/>
          <w:szCs w:val="22"/>
        </w:rPr>
        <w:t xml:space="preserve"> o di obiettivi di servizio </w:t>
      </w:r>
      <w:r w:rsidR="00E37717">
        <w:rPr>
          <w:rFonts w:ascii="Bookman Old Style" w:hAnsi="Bookman Old Style"/>
          <w:sz w:val="22"/>
          <w:szCs w:val="22"/>
        </w:rPr>
        <w:t xml:space="preserve">incrementali, </w:t>
      </w:r>
      <w:r w:rsidR="00E24D89" w:rsidRPr="005A4D85">
        <w:rPr>
          <w:rFonts w:ascii="Bookman Old Style" w:hAnsi="Bookman Old Style"/>
          <w:sz w:val="22"/>
          <w:szCs w:val="22"/>
        </w:rPr>
        <w:t xml:space="preserve">in materia di funzioni sociali, allineando le risorse aggiuntive a quanto già stabilito dal 2021 per i </w:t>
      </w:r>
      <w:r w:rsidR="005D2883">
        <w:rPr>
          <w:rFonts w:ascii="Bookman Old Style" w:hAnsi="Bookman Old Style"/>
          <w:sz w:val="22"/>
          <w:szCs w:val="22"/>
        </w:rPr>
        <w:t>C</w:t>
      </w:r>
      <w:r w:rsidR="00E24D89" w:rsidRPr="005A4D85">
        <w:rPr>
          <w:rFonts w:ascii="Bookman Old Style" w:hAnsi="Bookman Old Style"/>
          <w:sz w:val="22"/>
          <w:szCs w:val="22"/>
        </w:rPr>
        <w:t xml:space="preserve">omuni delle regioni a statuto ordinario. </w:t>
      </w:r>
    </w:p>
    <w:p w:rsidR="00664A07" w:rsidRPr="003A4111" w:rsidRDefault="00664A07" w:rsidP="00C8242C">
      <w:pPr>
        <w:pStyle w:val="Corpotesto"/>
        <w:spacing w:line="232" w:lineRule="auto"/>
        <w:ind w:right="161"/>
        <w:rPr>
          <w:rFonts w:ascii="Bookman Old Style" w:hAnsi="Bookman Old Style"/>
          <w:sz w:val="22"/>
          <w:szCs w:val="22"/>
        </w:rPr>
      </w:pPr>
    </w:p>
    <w:p w:rsidR="00C8242C" w:rsidRPr="00C17B6A" w:rsidRDefault="00C8242C" w:rsidP="00DD5B19">
      <w:pPr>
        <w:pStyle w:val="Corpotesto"/>
        <w:spacing w:line="232" w:lineRule="auto"/>
        <w:ind w:left="720" w:right="161"/>
        <w:rPr>
          <w:rFonts w:ascii="Bookman Old Style" w:hAnsi="Bookman Old Style"/>
          <w:b/>
          <w:bCs/>
          <w:color w:val="002060"/>
        </w:rPr>
      </w:pPr>
    </w:p>
    <w:p w:rsidR="00C8242C" w:rsidRPr="00950095" w:rsidRDefault="00C8242C" w:rsidP="00950095">
      <w:pPr>
        <w:pStyle w:val="art"/>
        <w:numPr>
          <w:ilvl w:val="0"/>
          <w:numId w:val="20"/>
        </w:numPr>
        <w:shd w:val="clear" w:color="auto" w:fill="FFFFFF"/>
        <w:spacing w:before="0" w:beforeAutospacing="0" w:after="0" w:afterAutospacing="0"/>
        <w:rPr>
          <w:rFonts w:ascii="Bookman Old Style" w:eastAsiaTheme="minorHAnsi" w:hAnsi="Bookman Old Style" w:cstheme="minorBidi"/>
          <w:b/>
          <w:bCs/>
          <w:color w:val="FF0000"/>
          <w:sz w:val="22"/>
          <w:szCs w:val="22"/>
        </w:rPr>
      </w:pPr>
      <w:r w:rsidRPr="00950095">
        <w:rPr>
          <w:rFonts w:ascii="Bookman Old Style" w:eastAsiaTheme="minorHAnsi" w:hAnsi="Bookman Old Style" w:cstheme="minorBidi"/>
          <w:b/>
          <w:bCs/>
          <w:color w:val="FF0000"/>
          <w:sz w:val="22"/>
          <w:szCs w:val="22"/>
        </w:rPr>
        <w:t>Incremento dotazione fondo di solidarietà comunale per potenziamento sociale, asili nido e trasporto disabili (</w:t>
      </w:r>
      <w:r w:rsidR="00DC0E79" w:rsidRPr="00950095">
        <w:rPr>
          <w:rFonts w:ascii="Bookman Old Style" w:eastAsiaTheme="minorHAnsi" w:hAnsi="Bookman Old Style" w:cstheme="minorBidi"/>
          <w:b/>
          <w:bCs/>
          <w:color w:val="FF0000"/>
          <w:sz w:val="22"/>
          <w:szCs w:val="22"/>
        </w:rPr>
        <w:t xml:space="preserve">art. 1, </w:t>
      </w:r>
      <w:r w:rsidR="00E62FA9" w:rsidRPr="00950095">
        <w:rPr>
          <w:rFonts w:ascii="Bookman Old Style" w:eastAsiaTheme="minorHAnsi" w:hAnsi="Bookman Old Style" w:cstheme="minorBidi"/>
          <w:b/>
          <w:bCs/>
          <w:color w:val="FF0000"/>
          <w:sz w:val="22"/>
          <w:szCs w:val="22"/>
        </w:rPr>
        <w:t>comma 564</w:t>
      </w:r>
      <w:r w:rsidRPr="00950095">
        <w:rPr>
          <w:rFonts w:ascii="Bookman Old Style" w:eastAsiaTheme="minorHAnsi" w:hAnsi="Bookman Old Style" w:cstheme="minorBidi"/>
          <w:b/>
          <w:bCs/>
          <w:color w:val="FF0000"/>
          <w:sz w:val="22"/>
          <w:szCs w:val="22"/>
        </w:rPr>
        <w:t>)</w:t>
      </w:r>
    </w:p>
    <w:p w:rsidR="00C8242C" w:rsidRDefault="00C17B6A" w:rsidP="00C17B6A">
      <w:pPr>
        <w:adjustRightInd w:val="0"/>
        <w:spacing w:line="232" w:lineRule="auto"/>
        <w:ind w:right="195"/>
        <w:contextualSpacing/>
        <w:jc w:val="both"/>
        <w:rPr>
          <w:rFonts w:ascii="Bookman Old Style" w:eastAsia="Times New Roman" w:hAnsi="Bookman Old Style" w:cs="Times New Roman"/>
          <w:sz w:val="22"/>
          <w:szCs w:val="22"/>
        </w:rPr>
      </w:pPr>
      <w:r w:rsidRPr="00E37717">
        <w:rPr>
          <w:rFonts w:ascii="Bookman Old Style" w:eastAsia="Times New Roman" w:hAnsi="Bookman Old Style" w:cs="Times New Roman"/>
          <w:sz w:val="22"/>
          <w:szCs w:val="22"/>
        </w:rPr>
        <w:t xml:space="preserve">La norma serve a riallineare la dotazione complessiva del fondo di solidarietà comunale all’incremento delle risorse destinate nell’ambito del fondo stesso al potenziamento degli asili nido, dei servizi in materia sociale e del trasporto dei disabili </w:t>
      </w:r>
      <w:r w:rsidR="00CB306B" w:rsidRPr="00E37717">
        <w:rPr>
          <w:rFonts w:ascii="Bookman Old Style" w:eastAsia="Times New Roman" w:hAnsi="Bookman Old Style" w:cs="Times New Roman"/>
          <w:sz w:val="22"/>
          <w:szCs w:val="22"/>
        </w:rPr>
        <w:t xml:space="preserve">ed indicate ai commi </w:t>
      </w:r>
      <w:r w:rsidR="00E37717" w:rsidRPr="00E3456B">
        <w:rPr>
          <w:rFonts w:ascii="Bookman Old Style" w:eastAsia="Times New Roman" w:hAnsi="Bookman Old Style" w:cs="Times New Roman"/>
          <w:sz w:val="22"/>
          <w:szCs w:val="22"/>
        </w:rPr>
        <w:t>172, 174 e 563</w:t>
      </w:r>
      <w:r w:rsidR="00FD0700">
        <w:rPr>
          <w:rFonts w:ascii="Bookman Old Style" w:eastAsia="Times New Roman" w:hAnsi="Bookman Old Style" w:cs="Times New Roman"/>
          <w:sz w:val="22"/>
          <w:szCs w:val="22"/>
        </w:rPr>
        <w:t>.</w:t>
      </w:r>
    </w:p>
    <w:p w:rsidR="00C17B6A" w:rsidRDefault="00C17B6A" w:rsidP="00C17B6A">
      <w:pPr>
        <w:adjustRightInd w:val="0"/>
        <w:spacing w:line="232" w:lineRule="auto"/>
        <w:ind w:right="195"/>
        <w:contextualSpacing/>
        <w:jc w:val="both"/>
        <w:rPr>
          <w:rFonts w:ascii="Bookman Old Style" w:eastAsia="Times New Roman" w:hAnsi="Bookman Old Style" w:cs="Times New Roman"/>
          <w:sz w:val="22"/>
          <w:szCs w:val="22"/>
        </w:rPr>
      </w:pPr>
    </w:p>
    <w:p w:rsidR="00FD0700" w:rsidRDefault="00FD0700" w:rsidP="00C17B6A">
      <w:pPr>
        <w:adjustRightInd w:val="0"/>
        <w:spacing w:line="232" w:lineRule="auto"/>
        <w:ind w:right="195"/>
        <w:contextualSpacing/>
        <w:jc w:val="both"/>
        <w:rPr>
          <w:rFonts w:ascii="Bookman Old Style" w:eastAsia="Times New Roman" w:hAnsi="Bookman Old Style" w:cs="Times New Roman"/>
          <w:sz w:val="22"/>
          <w:szCs w:val="22"/>
        </w:rPr>
      </w:pPr>
    </w:p>
    <w:p w:rsidR="00FD0700" w:rsidRPr="00C17B6A" w:rsidRDefault="00FD0700" w:rsidP="00C17B6A">
      <w:pPr>
        <w:adjustRightInd w:val="0"/>
        <w:spacing w:line="232" w:lineRule="auto"/>
        <w:ind w:right="195"/>
        <w:contextualSpacing/>
        <w:jc w:val="both"/>
        <w:rPr>
          <w:rFonts w:ascii="Bookman Old Style" w:eastAsia="Times New Roman" w:hAnsi="Bookman Old Style" w:cs="Times New Roman"/>
          <w:sz w:val="22"/>
          <w:szCs w:val="22"/>
        </w:rPr>
      </w:pPr>
    </w:p>
    <w:p w:rsidR="00207FAA" w:rsidRPr="00950095" w:rsidRDefault="00207FAA" w:rsidP="00207FAA">
      <w:pPr>
        <w:pStyle w:val="Corpotesto"/>
        <w:numPr>
          <w:ilvl w:val="0"/>
          <w:numId w:val="16"/>
        </w:numPr>
        <w:spacing w:line="232" w:lineRule="auto"/>
        <w:ind w:right="195"/>
        <w:rPr>
          <w:rFonts w:ascii="Bookman Old Style" w:hAnsi="Bookman Old Style"/>
          <w:b/>
          <w:bCs/>
          <w:color w:val="FF0000"/>
          <w:sz w:val="22"/>
          <w:szCs w:val="22"/>
        </w:rPr>
      </w:pPr>
      <w:r w:rsidRPr="00950095">
        <w:rPr>
          <w:rFonts w:ascii="Bookman Old Style" w:hAnsi="Bookman Old Style"/>
          <w:b/>
          <w:bCs/>
          <w:color w:val="FF0000"/>
          <w:sz w:val="22"/>
          <w:szCs w:val="22"/>
        </w:rPr>
        <w:t xml:space="preserve">Rifinanziamento del fondo di cui all’art. 53 del </w:t>
      </w:r>
      <w:proofErr w:type="spellStart"/>
      <w:r w:rsidRPr="00950095">
        <w:rPr>
          <w:rFonts w:ascii="Bookman Old Style" w:hAnsi="Bookman Old Style"/>
          <w:b/>
          <w:bCs/>
          <w:color w:val="FF0000"/>
          <w:sz w:val="22"/>
          <w:szCs w:val="22"/>
        </w:rPr>
        <w:t>d.l.</w:t>
      </w:r>
      <w:proofErr w:type="spellEnd"/>
      <w:r w:rsidRPr="00950095">
        <w:rPr>
          <w:rFonts w:ascii="Bookman Old Style" w:hAnsi="Bookman Old Style"/>
          <w:b/>
          <w:bCs/>
          <w:color w:val="FF0000"/>
          <w:sz w:val="22"/>
          <w:szCs w:val="22"/>
        </w:rPr>
        <w:t xml:space="preserve"> 104/2020 ed estensione ai </w:t>
      </w:r>
      <w:r w:rsidR="005D2883" w:rsidRPr="00950095">
        <w:rPr>
          <w:rFonts w:ascii="Bookman Old Style" w:hAnsi="Bookman Old Style"/>
          <w:b/>
          <w:bCs/>
          <w:color w:val="FF0000"/>
          <w:sz w:val="22"/>
          <w:szCs w:val="22"/>
        </w:rPr>
        <w:t xml:space="preserve">Comuni </w:t>
      </w:r>
      <w:r w:rsidRPr="00950095">
        <w:rPr>
          <w:rFonts w:ascii="Bookman Old Style" w:hAnsi="Bookman Old Style"/>
          <w:b/>
          <w:bCs/>
          <w:color w:val="FF0000"/>
          <w:sz w:val="22"/>
          <w:szCs w:val="22"/>
        </w:rPr>
        <w:t>delle regioni Sicilia e Sardegna (</w:t>
      </w:r>
      <w:r w:rsidR="001B205A" w:rsidRPr="00950095">
        <w:rPr>
          <w:rFonts w:ascii="Bookman Old Style" w:hAnsi="Bookman Old Style"/>
          <w:b/>
          <w:bCs/>
          <w:color w:val="FF0000"/>
          <w:sz w:val="22"/>
          <w:szCs w:val="22"/>
        </w:rPr>
        <w:t xml:space="preserve">art. 1, </w:t>
      </w:r>
      <w:r w:rsidR="00E62FA9" w:rsidRPr="00950095">
        <w:rPr>
          <w:rFonts w:ascii="Bookman Old Style" w:hAnsi="Bookman Old Style"/>
          <w:b/>
          <w:bCs/>
          <w:color w:val="FF0000"/>
          <w:sz w:val="22"/>
          <w:szCs w:val="22"/>
        </w:rPr>
        <w:t>commi 565-566</w:t>
      </w:r>
      <w:r w:rsidRPr="00950095">
        <w:rPr>
          <w:rFonts w:ascii="Bookman Old Style" w:hAnsi="Bookman Old Style"/>
          <w:b/>
          <w:bCs/>
          <w:color w:val="FF0000"/>
          <w:sz w:val="22"/>
          <w:szCs w:val="22"/>
        </w:rPr>
        <w:t>)</w:t>
      </w:r>
    </w:p>
    <w:p w:rsidR="00207FAA" w:rsidRPr="000A4E63" w:rsidRDefault="00207FAA" w:rsidP="00207FAA">
      <w:pPr>
        <w:pStyle w:val="Corpotesto"/>
        <w:spacing w:line="225" w:lineRule="auto"/>
        <w:ind w:right="179"/>
        <w:rPr>
          <w:rFonts w:ascii="Bookman Old Style" w:hAnsi="Bookman Old Style"/>
          <w:sz w:val="22"/>
          <w:szCs w:val="22"/>
        </w:rPr>
      </w:pPr>
      <w:r w:rsidRPr="000A4E63">
        <w:rPr>
          <w:rFonts w:ascii="Bookman Old Style" w:hAnsi="Bookman Old Style"/>
          <w:sz w:val="22"/>
          <w:szCs w:val="22"/>
        </w:rPr>
        <w:t xml:space="preserve">L’articolo 53 del decreto legge n. 104 del 2020 e il comma 775 dell’articolo 1 della legge n. 178 del 2020, in attuazione della sentenza della Corte costituzionale n. 115/2020, hanno previsto 1’istituzione di un fondo (100 milioni di euro per l'anno 2020, 150 milioni di euro per l’anno 2021 e 100 milioni di euro per l’anno 2022) per favorire il risanamento finanziario dei comuni in predissesto, il cui deficit strutturale è imputabile sostanzialmente alle caratteristiche socio-economiche della collettività e del territorio e non a patologie organizzative. </w:t>
      </w:r>
    </w:p>
    <w:p w:rsidR="00207FAA" w:rsidRPr="000A4E63" w:rsidRDefault="00207FAA" w:rsidP="00207FAA">
      <w:pPr>
        <w:pStyle w:val="Corpotesto"/>
        <w:spacing w:before="3" w:line="230" w:lineRule="auto"/>
        <w:ind w:right="174"/>
        <w:rPr>
          <w:rFonts w:ascii="Bookman Old Style" w:hAnsi="Bookman Old Style"/>
          <w:b/>
          <w:bCs/>
          <w:sz w:val="22"/>
          <w:szCs w:val="22"/>
        </w:rPr>
      </w:pPr>
      <w:r w:rsidRPr="000A4E63">
        <w:rPr>
          <w:rFonts w:ascii="Bookman Old Style" w:hAnsi="Bookman Old Style"/>
          <w:sz w:val="22"/>
          <w:szCs w:val="22"/>
        </w:rPr>
        <w:t>La norma in oggetto</w:t>
      </w:r>
      <w:r w:rsidR="005D2883">
        <w:rPr>
          <w:rFonts w:ascii="Bookman Old Style" w:hAnsi="Bookman Old Style"/>
          <w:sz w:val="22"/>
          <w:szCs w:val="22"/>
        </w:rPr>
        <w:t xml:space="preserve">, in considerazione delle </w:t>
      </w:r>
      <w:r w:rsidRPr="000A4E63">
        <w:rPr>
          <w:rFonts w:ascii="Bookman Old Style" w:hAnsi="Bookman Old Style"/>
          <w:sz w:val="22"/>
          <w:szCs w:val="22"/>
        </w:rPr>
        <w:t xml:space="preserve">difficoltà strutturali </w:t>
      </w:r>
      <w:r w:rsidR="005D2883">
        <w:rPr>
          <w:rFonts w:ascii="Bookman Old Style" w:hAnsi="Bookman Old Style"/>
          <w:sz w:val="22"/>
          <w:szCs w:val="22"/>
        </w:rPr>
        <w:t xml:space="preserve">degli enti </w:t>
      </w:r>
      <w:r w:rsidRPr="000A4E63">
        <w:rPr>
          <w:rFonts w:ascii="Bookman Old Style" w:hAnsi="Bookman Old Style"/>
          <w:sz w:val="22"/>
          <w:szCs w:val="22"/>
        </w:rPr>
        <w:t xml:space="preserve">e </w:t>
      </w:r>
      <w:r w:rsidR="005D2883">
        <w:rPr>
          <w:rFonts w:ascii="Bookman Old Style" w:hAnsi="Bookman Old Style"/>
          <w:sz w:val="22"/>
          <w:szCs w:val="22"/>
        </w:rPr>
        <w:t>della</w:t>
      </w:r>
      <w:r w:rsidRPr="000A4E63">
        <w:rPr>
          <w:rFonts w:ascii="Bookman Old Style" w:hAnsi="Bookman Old Style"/>
          <w:sz w:val="22"/>
          <w:szCs w:val="22"/>
        </w:rPr>
        <w:t xml:space="preserve"> necessità </w:t>
      </w:r>
      <w:r w:rsidR="005D2883">
        <w:rPr>
          <w:rFonts w:ascii="Bookman Old Style" w:hAnsi="Bookman Old Style"/>
          <w:sz w:val="22"/>
          <w:szCs w:val="22"/>
        </w:rPr>
        <w:t xml:space="preserve">di assicurare condizioni più favorevoli per la predisposizione del </w:t>
      </w:r>
      <w:r w:rsidRPr="000A4E63">
        <w:rPr>
          <w:rFonts w:ascii="Bookman Old Style" w:hAnsi="Bookman Old Style"/>
          <w:sz w:val="22"/>
          <w:szCs w:val="22"/>
        </w:rPr>
        <w:t xml:space="preserve">bilancio di previsione 2022-2024, prevede un rifinanziamento dell’intervento stesso. </w:t>
      </w:r>
      <w:r w:rsidR="005D2883">
        <w:rPr>
          <w:rFonts w:ascii="Bookman Old Style" w:hAnsi="Bookman Old Style"/>
          <w:sz w:val="22"/>
          <w:szCs w:val="22"/>
        </w:rPr>
        <w:t xml:space="preserve">L’intervento viene inoltre esteso </w:t>
      </w:r>
      <w:r w:rsidRPr="000A4E63">
        <w:rPr>
          <w:rFonts w:ascii="Bookman Old Style" w:hAnsi="Bookman Old Style"/>
          <w:sz w:val="22"/>
          <w:szCs w:val="22"/>
        </w:rPr>
        <w:t>anche ai Comuni dell</w:t>
      </w:r>
      <w:r w:rsidR="005D2883">
        <w:rPr>
          <w:rFonts w:ascii="Bookman Old Style" w:hAnsi="Bookman Old Style"/>
          <w:sz w:val="22"/>
          <w:szCs w:val="22"/>
        </w:rPr>
        <w:t xml:space="preserve">a </w:t>
      </w:r>
      <w:r w:rsidR="005D2883" w:rsidRPr="000A4E63">
        <w:rPr>
          <w:rFonts w:ascii="Bookman Old Style" w:hAnsi="Bookman Old Style"/>
          <w:sz w:val="22"/>
          <w:szCs w:val="22"/>
        </w:rPr>
        <w:t>Sicilia</w:t>
      </w:r>
      <w:r w:rsidR="005D2883">
        <w:rPr>
          <w:rFonts w:ascii="Bookman Old Style" w:hAnsi="Bookman Old Style"/>
          <w:sz w:val="22"/>
          <w:szCs w:val="22"/>
        </w:rPr>
        <w:t xml:space="preserve"> </w:t>
      </w:r>
      <w:r w:rsidRPr="000A4E63">
        <w:rPr>
          <w:rFonts w:ascii="Bookman Old Style" w:hAnsi="Bookman Old Style"/>
          <w:sz w:val="22"/>
          <w:szCs w:val="22"/>
        </w:rPr>
        <w:t xml:space="preserve">e </w:t>
      </w:r>
      <w:r w:rsidR="005D2883">
        <w:rPr>
          <w:rFonts w:ascii="Bookman Old Style" w:hAnsi="Bookman Old Style"/>
          <w:sz w:val="22"/>
          <w:szCs w:val="22"/>
        </w:rPr>
        <w:t xml:space="preserve">della </w:t>
      </w:r>
      <w:r w:rsidRPr="000A4E63">
        <w:rPr>
          <w:rFonts w:ascii="Bookman Old Style" w:hAnsi="Bookman Old Style"/>
          <w:sz w:val="22"/>
          <w:szCs w:val="22"/>
        </w:rPr>
        <w:t xml:space="preserve">Sardegna con previsione di introduzione delle capacità fiscali e dei fabbisogni standard nei </w:t>
      </w:r>
      <w:r w:rsidR="005D2883">
        <w:rPr>
          <w:rFonts w:ascii="Bookman Old Style" w:hAnsi="Bookman Old Style"/>
          <w:sz w:val="22"/>
          <w:szCs w:val="22"/>
        </w:rPr>
        <w:t xml:space="preserve">rispettivi </w:t>
      </w:r>
      <w:r w:rsidRPr="000A4E63">
        <w:rPr>
          <w:rFonts w:ascii="Bookman Old Style" w:hAnsi="Bookman Old Style"/>
          <w:sz w:val="22"/>
          <w:szCs w:val="22"/>
        </w:rPr>
        <w:t xml:space="preserve">territori. </w:t>
      </w:r>
      <w:r w:rsidRPr="000A4E63">
        <w:rPr>
          <w:rFonts w:ascii="Bookman Old Style" w:hAnsi="Bookman Old Style"/>
          <w:b/>
          <w:bCs/>
          <w:sz w:val="22"/>
          <w:szCs w:val="22"/>
        </w:rPr>
        <w:t xml:space="preserve">In particolare, agli enti locali </w:t>
      </w:r>
      <w:r w:rsidR="005D2883" w:rsidRPr="000A4E63">
        <w:rPr>
          <w:rFonts w:ascii="Bookman Old Style" w:hAnsi="Bookman Old Style"/>
          <w:b/>
          <w:bCs/>
          <w:sz w:val="22"/>
          <w:szCs w:val="22"/>
        </w:rPr>
        <w:t>dell</w:t>
      </w:r>
      <w:r w:rsidR="005D2883">
        <w:rPr>
          <w:rFonts w:ascii="Bookman Old Style" w:hAnsi="Bookman Old Style"/>
          <w:b/>
          <w:bCs/>
          <w:sz w:val="22"/>
          <w:szCs w:val="22"/>
        </w:rPr>
        <w:t>a</w:t>
      </w:r>
      <w:r w:rsidR="005D2883" w:rsidRPr="000A4E63">
        <w:rPr>
          <w:rFonts w:ascii="Bookman Old Style" w:hAnsi="Bookman Old Style"/>
          <w:b/>
          <w:bCs/>
          <w:sz w:val="22"/>
          <w:szCs w:val="22"/>
        </w:rPr>
        <w:t xml:space="preserve"> </w:t>
      </w:r>
      <w:r w:rsidRPr="000A4E63">
        <w:rPr>
          <w:rFonts w:ascii="Bookman Old Style" w:hAnsi="Bookman Old Style"/>
          <w:b/>
          <w:bCs/>
          <w:sz w:val="22"/>
          <w:szCs w:val="22"/>
        </w:rPr>
        <w:t>Sicilia</w:t>
      </w:r>
      <w:r w:rsidR="005D2883">
        <w:rPr>
          <w:rFonts w:ascii="Bookman Old Style" w:hAnsi="Bookman Old Style"/>
          <w:b/>
          <w:bCs/>
          <w:sz w:val="22"/>
          <w:szCs w:val="22"/>
        </w:rPr>
        <w:t xml:space="preserve"> </w:t>
      </w:r>
      <w:r w:rsidRPr="000A4E63">
        <w:rPr>
          <w:rFonts w:ascii="Bookman Old Style" w:hAnsi="Bookman Old Style"/>
          <w:b/>
          <w:bCs/>
          <w:sz w:val="22"/>
          <w:szCs w:val="22"/>
        </w:rPr>
        <w:t xml:space="preserve">e </w:t>
      </w:r>
      <w:r w:rsidR="005D2883">
        <w:rPr>
          <w:rFonts w:ascii="Bookman Old Style" w:hAnsi="Bookman Old Style"/>
          <w:b/>
          <w:bCs/>
          <w:sz w:val="22"/>
          <w:szCs w:val="22"/>
        </w:rPr>
        <w:t xml:space="preserve">della </w:t>
      </w:r>
      <w:r w:rsidRPr="000A4E63">
        <w:rPr>
          <w:rFonts w:ascii="Bookman Old Style" w:hAnsi="Bookman Old Style"/>
          <w:b/>
          <w:bCs/>
          <w:sz w:val="22"/>
          <w:szCs w:val="22"/>
        </w:rPr>
        <w:t xml:space="preserve">Sardegna, che non hanno partecipato al riparto delle risorse previste per le medesime finalità negli anni precedenti, è riservato l’importo di 50 mln per l’anno 2022 e partecipano alle nuove risorse </w:t>
      </w:r>
      <w:r w:rsidR="007A0C34">
        <w:rPr>
          <w:rFonts w:ascii="Bookman Old Style" w:hAnsi="Bookman Old Style"/>
          <w:b/>
          <w:bCs/>
          <w:sz w:val="22"/>
          <w:szCs w:val="22"/>
        </w:rPr>
        <w:t>relative a</w:t>
      </w:r>
      <w:r w:rsidRPr="000A4E63">
        <w:rPr>
          <w:rFonts w:ascii="Bookman Old Style" w:hAnsi="Bookman Old Style"/>
          <w:b/>
          <w:bCs/>
          <w:sz w:val="22"/>
          <w:szCs w:val="22"/>
        </w:rPr>
        <w:t>gli anni 2022 e 2023.</w:t>
      </w:r>
    </w:p>
    <w:p w:rsidR="001B17C1" w:rsidRDefault="00207FAA" w:rsidP="001B17C1">
      <w:pPr>
        <w:pStyle w:val="Corpotesto"/>
        <w:spacing w:before="1" w:line="230" w:lineRule="auto"/>
        <w:ind w:right="161"/>
        <w:rPr>
          <w:rFonts w:ascii="Bookman Old Style" w:hAnsi="Bookman Old Style"/>
          <w:sz w:val="22"/>
          <w:szCs w:val="22"/>
        </w:rPr>
      </w:pPr>
      <w:r w:rsidRPr="000A4E63">
        <w:rPr>
          <w:rFonts w:ascii="Bookman Old Style" w:hAnsi="Bookman Old Style"/>
          <w:sz w:val="22"/>
          <w:szCs w:val="22"/>
        </w:rPr>
        <w:t xml:space="preserve">Si prevede, infine, che il contributo complessivamente riconosciuto a ciascun ente non </w:t>
      </w:r>
      <w:r w:rsidR="005D2883">
        <w:rPr>
          <w:rFonts w:ascii="Bookman Old Style" w:hAnsi="Bookman Old Style"/>
          <w:sz w:val="22"/>
          <w:szCs w:val="22"/>
        </w:rPr>
        <w:t xml:space="preserve">possa </w:t>
      </w:r>
      <w:r w:rsidRPr="000A4E63">
        <w:rPr>
          <w:rFonts w:ascii="Bookman Old Style" w:hAnsi="Bookman Old Style"/>
          <w:sz w:val="22"/>
          <w:szCs w:val="22"/>
        </w:rPr>
        <w:t>essere superiore al disavanzo di amministrazione al 31 dicembre 2020 nettizzato dei contributi allo scopo già assegnati in passato</w:t>
      </w:r>
      <w:r w:rsidR="005D2883">
        <w:rPr>
          <w:rFonts w:ascii="Bookman Old Style" w:hAnsi="Bookman Old Style"/>
          <w:sz w:val="22"/>
          <w:szCs w:val="22"/>
        </w:rPr>
        <w:t xml:space="preserve">. Il contributo </w:t>
      </w:r>
      <w:r w:rsidRPr="000A4E63">
        <w:rPr>
          <w:rFonts w:ascii="Bookman Old Style" w:hAnsi="Bookman Old Style"/>
          <w:sz w:val="22"/>
          <w:szCs w:val="22"/>
        </w:rPr>
        <w:t>è prioritariamente destinato alla riduzione, anche anticipata, del disavanzo di amministrazione. A seguito dell’utilizzo dei predetti contributi, l’eventuale maggiore ripiano del disavanzo di amministrazione applicato al primo esercizio del bilancio di previsione rispetto a quanto previsto dai piani di rientro può non essere applicato al bilancio degli esercizi successivi.</w:t>
      </w:r>
    </w:p>
    <w:p w:rsidR="001B17C1" w:rsidRDefault="001B17C1" w:rsidP="001B17C1">
      <w:pPr>
        <w:pStyle w:val="Corpotesto"/>
        <w:spacing w:before="1" w:line="230" w:lineRule="auto"/>
        <w:ind w:right="161"/>
        <w:rPr>
          <w:rFonts w:ascii="Bookman Old Style" w:hAnsi="Bookman Old Style"/>
          <w:sz w:val="22"/>
          <w:szCs w:val="22"/>
        </w:rPr>
      </w:pPr>
    </w:p>
    <w:p w:rsidR="001B17C1" w:rsidRDefault="001B17C1" w:rsidP="001B17C1">
      <w:pPr>
        <w:pStyle w:val="Corpotesto"/>
        <w:spacing w:before="1" w:line="230" w:lineRule="auto"/>
        <w:ind w:right="161"/>
        <w:rPr>
          <w:rFonts w:ascii="Bookman Old Style" w:hAnsi="Bookman Old Style"/>
          <w:sz w:val="22"/>
          <w:szCs w:val="22"/>
        </w:rPr>
      </w:pPr>
    </w:p>
    <w:p w:rsidR="00D775A0" w:rsidRDefault="001B17C1" w:rsidP="00D775A0">
      <w:pPr>
        <w:pStyle w:val="Paragrafoelenco"/>
        <w:numPr>
          <w:ilvl w:val="0"/>
          <w:numId w:val="18"/>
        </w:numPr>
        <w:spacing w:line="240" w:lineRule="auto"/>
        <w:contextualSpacing/>
        <w:jc w:val="both"/>
        <w:rPr>
          <w:rFonts w:ascii="Bookman Old Style" w:hAnsi="Bookman Old Style"/>
          <w:b/>
          <w:bCs/>
          <w:color w:val="FF0000"/>
        </w:rPr>
      </w:pPr>
      <w:r w:rsidRPr="00950095">
        <w:rPr>
          <w:rFonts w:ascii="Bookman Old Style" w:hAnsi="Bookman Old Style"/>
          <w:b/>
          <w:bCs/>
          <w:color w:val="FF0000"/>
        </w:rPr>
        <w:t>Ripiano disavanzo comuni sede di capoluogo di città metropolitana (</w:t>
      </w:r>
      <w:r w:rsidR="001B205A" w:rsidRPr="00950095">
        <w:rPr>
          <w:rFonts w:ascii="Bookman Old Style" w:hAnsi="Bookman Old Style"/>
          <w:b/>
          <w:bCs/>
          <w:color w:val="FF0000"/>
        </w:rPr>
        <w:t xml:space="preserve">art. 1, </w:t>
      </w:r>
      <w:r w:rsidR="00F56AB9" w:rsidRPr="00950095">
        <w:rPr>
          <w:rFonts w:ascii="Bookman Old Style" w:hAnsi="Bookman Old Style"/>
          <w:b/>
          <w:bCs/>
          <w:color w:val="FF0000"/>
        </w:rPr>
        <w:t>commi da 567</w:t>
      </w:r>
      <w:r w:rsidR="001B205A" w:rsidRPr="00950095">
        <w:rPr>
          <w:rFonts w:ascii="Bookman Old Style" w:hAnsi="Bookman Old Style"/>
          <w:b/>
          <w:bCs/>
          <w:color w:val="FF0000"/>
        </w:rPr>
        <w:t xml:space="preserve">- </w:t>
      </w:r>
      <w:r w:rsidR="00F56AB9" w:rsidRPr="00950095">
        <w:rPr>
          <w:rFonts w:ascii="Bookman Old Style" w:hAnsi="Bookman Old Style"/>
          <w:b/>
          <w:bCs/>
          <w:color w:val="FF0000"/>
        </w:rPr>
        <w:t>580</w:t>
      </w:r>
      <w:r w:rsidRPr="00950095">
        <w:rPr>
          <w:rFonts w:ascii="Bookman Old Style" w:hAnsi="Bookman Old Style"/>
          <w:b/>
          <w:bCs/>
          <w:color w:val="FF0000"/>
        </w:rPr>
        <w:t xml:space="preserve">) </w:t>
      </w:r>
    </w:p>
    <w:p w:rsidR="00950095" w:rsidRPr="00950095" w:rsidRDefault="00950095" w:rsidP="00950095">
      <w:pPr>
        <w:pStyle w:val="Paragrafoelenco"/>
        <w:spacing w:line="240" w:lineRule="auto"/>
        <w:ind w:left="720" w:firstLine="0"/>
        <w:contextualSpacing/>
        <w:jc w:val="both"/>
        <w:rPr>
          <w:rFonts w:ascii="Bookman Old Style" w:hAnsi="Bookman Old Style"/>
          <w:b/>
          <w:bCs/>
          <w:color w:val="FF0000"/>
        </w:rPr>
      </w:pPr>
    </w:p>
    <w:p w:rsidR="00F85E24" w:rsidRPr="00E3456B" w:rsidRDefault="001B17C1" w:rsidP="00D775A0">
      <w:pPr>
        <w:pStyle w:val="Corpotesto"/>
        <w:spacing w:before="1" w:line="230" w:lineRule="auto"/>
        <w:ind w:right="161"/>
        <w:rPr>
          <w:rFonts w:ascii="Bookman Old Style" w:hAnsi="Bookman Old Style"/>
          <w:sz w:val="22"/>
          <w:szCs w:val="22"/>
        </w:rPr>
      </w:pPr>
      <w:r w:rsidRPr="00E3456B">
        <w:rPr>
          <w:rFonts w:ascii="Bookman Old Style" w:hAnsi="Bookman Old Style"/>
          <w:sz w:val="22"/>
          <w:szCs w:val="22"/>
        </w:rPr>
        <w:t>Ai comuni sede di capoluogo di città metropolitana con disavanzo pro-capite</w:t>
      </w:r>
      <w:r w:rsidR="002954EB" w:rsidRPr="00E3456B">
        <w:rPr>
          <w:rFonts w:ascii="Bookman Old Style" w:hAnsi="Bookman Old Style"/>
          <w:sz w:val="22"/>
          <w:szCs w:val="22"/>
        </w:rPr>
        <w:t xml:space="preserve"> 2020</w:t>
      </w:r>
      <w:r w:rsidRPr="00E3456B">
        <w:rPr>
          <w:rFonts w:ascii="Bookman Old Style" w:hAnsi="Bookman Old Style"/>
          <w:sz w:val="22"/>
          <w:szCs w:val="22"/>
        </w:rPr>
        <w:t xml:space="preserve"> superiore a euro 700 è riconosciuto per gli anni 2022-2042 un contributo complessivo di euro 2.670 milioni</w:t>
      </w:r>
      <w:r w:rsidR="00CB306B" w:rsidRPr="00E3456B">
        <w:rPr>
          <w:rFonts w:ascii="Bookman Old Style" w:hAnsi="Bookman Old Style"/>
          <w:sz w:val="22"/>
          <w:szCs w:val="22"/>
        </w:rPr>
        <w:t xml:space="preserve"> (</w:t>
      </w:r>
      <w:r w:rsidRPr="00E3456B">
        <w:rPr>
          <w:rFonts w:ascii="Bookman Old Style" w:hAnsi="Bookman Old Style"/>
          <w:sz w:val="22"/>
          <w:szCs w:val="22"/>
        </w:rPr>
        <w:t xml:space="preserve">150 milioni di euro nel 2022, 290 milioni </w:t>
      </w:r>
      <w:r w:rsidR="00CB306B" w:rsidRPr="00E3456B">
        <w:rPr>
          <w:rFonts w:ascii="Bookman Old Style" w:hAnsi="Bookman Old Style"/>
          <w:sz w:val="22"/>
          <w:szCs w:val="22"/>
        </w:rPr>
        <w:t xml:space="preserve">annui per il </w:t>
      </w:r>
      <w:r w:rsidRPr="00E3456B">
        <w:rPr>
          <w:rFonts w:ascii="Bookman Old Style" w:hAnsi="Bookman Old Style"/>
          <w:sz w:val="22"/>
          <w:szCs w:val="22"/>
        </w:rPr>
        <w:t xml:space="preserve">2023 e </w:t>
      </w:r>
      <w:r w:rsidR="00CB306B" w:rsidRPr="00E3456B">
        <w:rPr>
          <w:rFonts w:ascii="Bookman Old Style" w:hAnsi="Bookman Old Style"/>
          <w:sz w:val="22"/>
          <w:szCs w:val="22"/>
        </w:rPr>
        <w:t xml:space="preserve">il </w:t>
      </w:r>
      <w:r w:rsidRPr="00E3456B">
        <w:rPr>
          <w:rFonts w:ascii="Bookman Old Style" w:hAnsi="Bookman Old Style"/>
          <w:sz w:val="22"/>
          <w:szCs w:val="22"/>
        </w:rPr>
        <w:t>2024, 240 milioni nel 2025, 100 milioni annui per ciascuno degli anni 2026-2042</w:t>
      </w:r>
      <w:r w:rsidR="00CB306B" w:rsidRPr="00E3456B">
        <w:rPr>
          <w:rFonts w:ascii="Bookman Old Style" w:hAnsi="Bookman Old Style"/>
          <w:sz w:val="22"/>
          <w:szCs w:val="22"/>
        </w:rPr>
        <w:t>)</w:t>
      </w:r>
      <w:r w:rsidRPr="00E3456B">
        <w:rPr>
          <w:rFonts w:ascii="Bookman Old Style" w:hAnsi="Bookman Old Style"/>
          <w:sz w:val="22"/>
          <w:szCs w:val="22"/>
        </w:rPr>
        <w:t>, da ripartire, in propor</w:t>
      </w:r>
      <w:r w:rsidRPr="00E3456B">
        <w:rPr>
          <w:rFonts w:ascii="Bookman Old Style" w:hAnsi="Bookman Old Style"/>
          <w:sz w:val="22"/>
          <w:szCs w:val="22"/>
        </w:rPr>
        <w:softHyphen/>
        <w:t>zione all’onere connesso al ripiano annuale del disavanzo e alle quote di ammortamento dei debiti finanziari al 31 di</w:t>
      </w:r>
      <w:r w:rsidRPr="00E3456B">
        <w:rPr>
          <w:rFonts w:ascii="Bookman Old Style" w:hAnsi="Bookman Old Style"/>
          <w:sz w:val="22"/>
          <w:szCs w:val="22"/>
        </w:rPr>
        <w:softHyphen/>
        <w:t xml:space="preserve">cembre 2021, al netto della quota capitale delle anticipazioni di liquidità e di cassa, </w:t>
      </w:r>
      <w:r w:rsidR="006D60FE" w:rsidRPr="00E3456B">
        <w:rPr>
          <w:rFonts w:ascii="Bookman Old Style" w:hAnsi="Bookman Old Style"/>
          <w:sz w:val="22"/>
          <w:szCs w:val="22"/>
        </w:rPr>
        <w:t xml:space="preserve">previa </w:t>
      </w:r>
      <w:r w:rsidRPr="00E3456B">
        <w:rPr>
          <w:rFonts w:ascii="Bookman Old Style" w:hAnsi="Bookman Old Style"/>
          <w:sz w:val="22"/>
          <w:szCs w:val="22"/>
        </w:rPr>
        <w:t>attestazione del legale rappresentante dell’ente</w:t>
      </w:r>
      <w:r w:rsidR="006D60FE" w:rsidRPr="00E3456B">
        <w:rPr>
          <w:rFonts w:ascii="Bookman Old Style" w:hAnsi="Bookman Old Style"/>
          <w:sz w:val="22"/>
          <w:szCs w:val="22"/>
        </w:rPr>
        <w:t xml:space="preserve"> interessato</w:t>
      </w:r>
      <w:r w:rsidRPr="00E3456B">
        <w:rPr>
          <w:rFonts w:ascii="Bookman Old Style" w:hAnsi="Bookman Old Style"/>
          <w:sz w:val="22"/>
          <w:szCs w:val="22"/>
        </w:rPr>
        <w:t>.</w:t>
      </w:r>
    </w:p>
    <w:p w:rsidR="002954EB" w:rsidRPr="00E3456B" w:rsidRDefault="002954EB" w:rsidP="00D775A0">
      <w:pPr>
        <w:pStyle w:val="Corpotesto"/>
        <w:spacing w:before="1" w:line="230" w:lineRule="auto"/>
        <w:ind w:right="161"/>
        <w:rPr>
          <w:rFonts w:ascii="Bookman Old Style" w:hAnsi="Bookman Old Style"/>
          <w:sz w:val="22"/>
          <w:szCs w:val="22"/>
        </w:rPr>
      </w:pPr>
      <w:r w:rsidRPr="00E3456B">
        <w:rPr>
          <w:rFonts w:ascii="Bookman Old Style" w:hAnsi="Bookman Old Style"/>
          <w:sz w:val="22"/>
          <w:szCs w:val="22"/>
        </w:rPr>
        <w:t>Gli oneri in questione sono ridotti in ragione degli effetti dovuti a precedenti analoghi contributi assegnati per le annualità 2021-2023.</w:t>
      </w:r>
    </w:p>
    <w:p w:rsidR="00FB23BE" w:rsidRPr="00B41256" w:rsidRDefault="006D60FE" w:rsidP="00D775A0">
      <w:pPr>
        <w:pStyle w:val="Corpotesto"/>
        <w:spacing w:before="1" w:line="230" w:lineRule="auto"/>
        <w:ind w:right="161"/>
        <w:rPr>
          <w:rFonts w:ascii="Bookman Old Style" w:hAnsi="Bookman Old Style"/>
          <w:sz w:val="22"/>
          <w:szCs w:val="22"/>
        </w:rPr>
      </w:pPr>
      <w:r w:rsidRPr="00E3456B">
        <w:rPr>
          <w:rFonts w:ascii="Bookman Old Style" w:hAnsi="Bookman Old Style"/>
          <w:sz w:val="22"/>
          <w:szCs w:val="22"/>
        </w:rPr>
        <w:t xml:space="preserve">Il </w:t>
      </w:r>
      <w:r w:rsidR="00FB23BE" w:rsidRPr="00E3456B">
        <w:rPr>
          <w:rFonts w:ascii="Bookman Old Style" w:hAnsi="Bookman Old Style"/>
          <w:sz w:val="22"/>
          <w:szCs w:val="22"/>
        </w:rPr>
        <w:t>contributo è ripartito</w:t>
      </w:r>
      <w:r w:rsidRPr="00E3456B">
        <w:rPr>
          <w:rFonts w:ascii="Bookman Old Style" w:hAnsi="Bookman Old Style"/>
          <w:sz w:val="22"/>
          <w:szCs w:val="22"/>
        </w:rPr>
        <w:t xml:space="preserve"> </w:t>
      </w:r>
      <w:r w:rsidR="00FB23BE" w:rsidRPr="00E3456B">
        <w:rPr>
          <w:rFonts w:ascii="Bookman Old Style" w:hAnsi="Bookman Old Style"/>
          <w:sz w:val="22"/>
          <w:szCs w:val="22"/>
        </w:rPr>
        <w:t>con decreto del Ministero dell’interno, di concerto con il MEF, previa intesa in Conferenza Stato-città ed autonomie locali, entro il 31 marzo 2022.</w:t>
      </w:r>
    </w:p>
    <w:p w:rsidR="002954EB" w:rsidRPr="00FB23BE" w:rsidRDefault="002954EB" w:rsidP="00D775A0">
      <w:pPr>
        <w:pStyle w:val="Corpotesto"/>
        <w:spacing w:before="1" w:line="230" w:lineRule="auto"/>
        <w:ind w:right="161"/>
        <w:rPr>
          <w:rFonts w:ascii="Bookman Old Style" w:hAnsi="Bookman Old Style"/>
          <w:sz w:val="22"/>
          <w:szCs w:val="22"/>
        </w:rPr>
      </w:pPr>
      <w:r w:rsidRPr="00B41256">
        <w:rPr>
          <w:rFonts w:ascii="Bookman Old Style" w:hAnsi="Bookman Old Style"/>
          <w:sz w:val="22"/>
          <w:szCs w:val="22"/>
        </w:rPr>
        <w:t xml:space="preserve">La concessione del contributo è subordinata alla sottoscrizione entro il 15 febbraio 2022 di un Accordo </w:t>
      </w:r>
      <w:r w:rsidR="0086165B" w:rsidRPr="00B41256">
        <w:rPr>
          <w:rFonts w:ascii="Bookman Old Style" w:hAnsi="Bookman Old Style"/>
          <w:sz w:val="22"/>
          <w:szCs w:val="22"/>
        </w:rPr>
        <w:t xml:space="preserve">tra il Sindaco del comune beneficiario e il Presidente del Consiglio, riguardante: incrementi del prelievo da addizionale all’Irpef e l’istituzione di un’addizionale sui diritti di imbarco portuale e aeroportuale; valorizzazione ed efficientamento della gestione delle entrate proprie; riduzione delle spese generali e di amministrazione; interventi di razionalizzazione delle società partecipate; interventi di riorganizzazione e di incremento degli investimenti </w:t>
      </w:r>
      <w:r w:rsidR="00B41256" w:rsidRPr="00B41256">
        <w:rPr>
          <w:rFonts w:ascii="Bookman Old Style" w:hAnsi="Bookman Old Style"/>
          <w:sz w:val="22"/>
          <w:szCs w:val="22"/>
        </w:rPr>
        <w:t>anche connessi al PNRR. L’Accordo prevede inoltre il censimento dei debiti commerciali pregressi e la loro definizione transattiva con percentuali di riconoscimento e liquidazione commisurate alla vetustà di ciascuna posizione.</w:t>
      </w:r>
      <w:r w:rsidR="00B41256">
        <w:rPr>
          <w:rFonts w:ascii="Bookman Old Style" w:hAnsi="Bookman Old Style"/>
          <w:sz w:val="22"/>
          <w:szCs w:val="22"/>
        </w:rPr>
        <w:t xml:space="preserve"> L’attuazione dell’Accordo è oggetto di vigilanza da parte della Commissione per la stabilità finanziaria degli enti locali (</w:t>
      </w:r>
      <w:proofErr w:type="spellStart"/>
      <w:r w:rsidR="00B41256">
        <w:rPr>
          <w:rFonts w:ascii="Bookman Old Style" w:hAnsi="Bookman Old Style"/>
          <w:sz w:val="22"/>
          <w:szCs w:val="22"/>
        </w:rPr>
        <w:t>Cosfel</w:t>
      </w:r>
      <w:proofErr w:type="spellEnd"/>
      <w:r w:rsidR="00B41256">
        <w:rPr>
          <w:rFonts w:ascii="Bookman Old Style" w:hAnsi="Bookman Old Style"/>
          <w:sz w:val="22"/>
          <w:szCs w:val="22"/>
        </w:rPr>
        <w:t>)</w:t>
      </w:r>
      <w:r w:rsidR="00D5567A">
        <w:rPr>
          <w:rFonts w:ascii="Bookman Old Style" w:hAnsi="Bookman Old Style"/>
          <w:sz w:val="22"/>
          <w:szCs w:val="22"/>
        </w:rPr>
        <w:t xml:space="preserve"> e il mancato rispetto delle condizioni ivi previste può portare al dissesto dell’ente ai sensi dell’art. 6 del d.lgs. 149/2011.</w:t>
      </w:r>
      <w:r w:rsidR="00B41256">
        <w:rPr>
          <w:rFonts w:ascii="Bookman Old Style" w:hAnsi="Bookman Old Style"/>
          <w:sz w:val="22"/>
          <w:szCs w:val="22"/>
        </w:rPr>
        <w:t xml:space="preserve"> </w:t>
      </w:r>
    </w:p>
    <w:p w:rsidR="00F85E24" w:rsidRDefault="00F85E24" w:rsidP="00207FAA">
      <w:pPr>
        <w:pStyle w:val="Corpotesto"/>
        <w:spacing w:before="1" w:line="230" w:lineRule="auto"/>
        <w:ind w:left="197" w:right="161" w:firstLine="1"/>
        <w:rPr>
          <w:rFonts w:ascii="Bookman Old Style" w:hAnsi="Bookman Old Style"/>
          <w:sz w:val="22"/>
          <w:szCs w:val="22"/>
        </w:rPr>
      </w:pPr>
    </w:p>
    <w:p w:rsidR="00207FAA" w:rsidRPr="000A4E63" w:rsidRDefault="00207FAA" w:rsidP="00207FAA">
      <w:pPr>
        <w:pStyle w:val="Corpotesto"/>
        <w:spacing w:before="1" w:line="230" w:lineRule="auto"/>
        <w:ind w:left="197" w:right="161" w:firstLine="1"/>
        <w:rPr>
          <w:rFonts w:ascii="Bookman Old Style" w:hAnsi="Bookman Old Style"/>
          <w:sz w:val="22"/>
          <w:szCs w:val="22"/>
        </w:rPr>
      </w:pPr>
    </w:p>
    <w:p w:rsidR="00207FAA" w:rsidRPr="00950095" w:rsidRDefault="00207FAA" w:rsidP="00207FAA">
      <w:pPr>
        <w:pStyle w:val="Corpotesto"/>
        <w:numPr>
          <w:ilvl w:val="0"/>
          <w:numId w:val="16"/>
        </w:numPr>
        <w:spacing w:before="1" w:line="230" w:lineRule="auto"/>
        <w:ind w:right="161"/>
        <w:rPr>
          <w:rFonts w:ascii="Bookman Old Style" w:hAnsi="Bookman Old Style"/>
          <w:b/>
          <w:bCs/>
          <w:color w:val="FF0000"/>
          <w:sz w:val="22"/>
          <w:szCs w:val="22"/>
        </w:rPr>
      </w:pPr>
      <w:r w:rsidRPr="00950095">
        <w:rPr>
          <w:rFonts w:ascii="Bookman Old Style" w:hAnsi="Bookman Old Style"/>
          <w:b/>
          <w:bCs/>
          <w:color w:val="FF0000"/>
          <w:sz w:val="22"/>
          <w:szCs w:val="22"/>
        </w:rPr>
        <w:t>Incremento risorse correnti comuni fino a 5.000 abitanti in difficoltà economiche (</w:t>
      </w:r>
      <w:r w:rsidR="003E0E84" w:rsidRPr="00950095">
        <w:rPr>
          <w:rFonts w:ascii="Bookman Old Style" w:hAnsi="Bookman Old Style"/>
          <w:b/>
          <w:bCs/>
          <w:color w:val="FF0000"/>
          <w:sz w:val="22"/>
          <w:szCs w:val="22"/>
        </w:rPr>
        <w:t xml:space="preserve">art. 1, </w:t>
      </w:r>
      <w:r w:rsidR="00441D01" w:rsidRPr="00950095">
        <w:rPr>
          <w:rFonts w:ascii="Bookman Old Style" w:hAnsi="Bookman Old Style"/>
          <w:b/>
          <w:bCs/>
          <w:color w:val="FF0000"/>
          <w:sz w:val="22"/>
          <w:szCs w:val="22"/>
        </w:rPr>
        <w:t>commi 581-582</w:t>
      </w:r>
      <w:r w:rsidRPr="00950095">
        <w:rPr>
          <w:rFonts w:ascii="Bookman Old Style" w:hAnsi="Bookman Old Style"/>
          <w:b/>
          <w:bCs/>
          <w:color w:val="FF0000"/>
          <w:sz w:val="22"/>
          <w:szCs w:val="22"/>
        </w:rPr>
        <w:t>)</w:t>
      </w:r>
    </w:p>
    <w:p w:rsidR="00207FAA" w:rsidRDefault="00207FAA" w:rsidP="00207FAA">
      <w:pPr>
        <w:jc w:val="both"/>
        <w:rPr>
          <w:rFonts w:ascii="Bookman Old Style" w:eastAsia="Times New Roman" w:hAnsi="Bookman Old Style" w:cs="Times New Roman"/>
          <w:sz w:val="22"/>
          <w:szCs w:val="22"/>
        </w:rPr>
      </w:pPr>
      <w:r w:rsidRPr="000A4E63">
        <w:rPr>
          <w:rFonts w:ascii="Bookman Old Style" w:eastAsia="Times New Roman" w:hAnsi="Bookman Old Style" w:cs="Times New Roman"/>
          <w:sz w:val="22"/>
          <w:szCs w:val="22"/>
        </w:rPr>
        <w:t xml:space="preserve">Si prevede un contributo di </w:t>
      </w:r>
      <w:r w:rsidRPr="003C17A0">
        <w:rPr>
          <w:rFonts w:ascii="Bookman Old Style" w:eastAsia="Times New Roman" w:hAnsi="Bookman Old Style" w:cs="Times New Roman"/>
          <w:b/>
          <w:bCs/>
          <w:sz w:val="22"/>
          <w:szCs w:val="22"/>
        </w:rPr>
        <w:t>50 milioni di euro</w:t>
      </w:r>
      <w:r w:rsidRPr="000A4E63">
        <w:rPr>
          <w:rFonts w:ascii="Bookman Old Style" w:eastAsia="Times New Roman" w:hAnsi="Bookman Old Style" w:cs="Times New Roman"/>
          <w:sz w:val="22"/>
          <w:szCs w:val="22"/>
        </w:rPr>
        <w:t xml:space="preserve"> su richiesta dell’Anci per l’anno 2022 in favore dei </w:t>
      </w:r>
      <w:r w:rsidR="003C17A0">
        <w:rPr>
          <w:rFonts w:ascii="Bookman Old Style" w:eastAsia="Times New Roman" w:hAnsi="Bookman Old Style" w:cs="Times New Roman"/>
          <w:sz w:val="22"/>
          <w:szCs w:val="22"/>
        </w:rPr>
        <w:t>C</w:t>
      </w:r>
      <w:r w:rsidRPr="000A4E63">
        <w:rPr>
          <w:rFonts w:ascii="Bookman Old Style" w:eastAsia="Times New Roman" w:hAnsi="Bookman Old Style" w:cs="Times New Roman"/>
          <w:sz w:val="22"/>
          <w:szCs w:val="22"/>
        </w:rPr>
        <w:t xml:space="preserve">omuni delle </w:t>
      </w:r>
      <w:r w:rsidR="003C17A0">
        <w:rPr>
          <w:rFonts w:ascii="Bookman Old Style" w:eastAsia="Times New Roman" w:hAnsi="Bookman Old Style" w:cs="Times New Roman"/>
          <w:sz w:val="22"/>
          <w:szCs w:val="22"/>
        </w:rPr>
        <w:t>R</w:t>
      </w:r>
      <w:r w:rsidRPr="000A4E63">
        <w:rPr>
          <w:rFonts w:ascii="Bookman Old Style" w:eastAsia="Times New Roman" w:hAnsi="Bookman Old Style" w:cs="Times New Roman"/>
          <w:sz w:val="22"/>
          <w:szCs w:val="22"/>
        </w:rPr>
        <w:t>egioni a statuto ordinario e delle regioni Sicilia e Sardegna con popolazione inferiore a 5.000 abitanti. In particolare, si prevede che il predetto contributo sia ripartito in proporzione alla popolazione al 31 dicembre 2019 post censimento tra i comuni con problemi di spopolamento che presentano un reddito medio pro capite inferiore di oltre 3.000 euro rispetto alla media nazionale, nonché un Indice di Vulnerabilità Sociale e Materiale (IVSM) superiore alla media nazionale.</w:t>
      </w:r>
    </w:p>
    <w:p w:rsidR="00284812" w:rsidRPr="00233189" w:rsidRDefault="00284812" w:rsidP="00207FAA">
      <w:pPr>
        <w:jc w:val="both"/>
        <w:rPr>
          <w:rFonts w:ascii="Bookman Old Style" w:eastAsia="Times New Roman" w:hAnsi="Bookman Old Style" w:cs="Times New Roman"/>
          <w:b/>
          <w:bCs/>
          <w:i/>
          <w:iCs/>
          <w:sz w:val="22"/>
          <w:szCs w:val="22"/>
        </w:rPr>
      </w:pPr>
      <w:r w:rsidRPr="00233189">
        <w:rPr>
          <w:rFonts w:ascii="Bookman Old Style" w:eastAsia="Times New Roman" w:hAnsi="Bookman Old Style" w:cs="Times New Roman"/>
          <w:b/>
          <w:bCs/>
          <w:sz w:val="22"/>
          <w:szCs w:val="22"/>
        </w:rPr>
        <w:t xml:space="preserve">Il </w:t>
      </w:r>
      <w:r w:rsidR="00B06CFB" w:rsidRPr="00233189">
        <w:rPr>
          <w:rFonts w:ascii="Bookman Old Style" w:eastAsia="Times New Roman" w:hAnsi="Bookman Old Style" w:cs="Times New Roman"/>
          <w:b/>
          <w:bCs/>
          <w:sz w:val="22"/>
          <w:szCs w:val="22"/>
        </w:rPr>
        <w:t>riparto è effettuato con decreto del Ministro dell’Interno</w:t>
      </w:r>
      <w:r w:rsidR="00E96731" w:rsidRPr="00233189">
        <w:rPr>
          <w:rFonts w:ascii="Bookman Old Style" w:eastAsia="Times New Roman" w:hAnsi="Bookman Old Style" w:cs="Times New Roman"/>
          <w:b/>
          <w:bCs/>
          <w:sz w:val="22"/>
          <w:szCs w:val="22"/>
        </w:rPr>
        <w:t>, previa Intesa in Conferenza Stato,</w:t>
      </w:r>
      <w:r w:rsidR="00E96731">
        <w:rPr>
          <w:rFonts w:ascii="Bookman Old Style" w:eastAsia="Times New Roman" w:hAnsi="Bookman Old Style" w:cs="Times New Roman"/>
          <w:sz w:val="22"/>
          <w:szCs w:val="22"/>
        </w:rPr>
        <w:t xml:space="preserve"> </w:t>
      </w:r>
      <w:r w:rsidR="00E96731" w:rsidRPr="00233189">
        <w:rPr>
          <w:rFonts w:ascii="Bookman Old Style" w:eastAsia="Times New Roman" w:hAnsi="Bookman Old Style" w:cs="Times New Roman"/>
          <w:b/>
          <w:bCs/>
          <w:i/>
          <w:iCs/>
          <w:sz w:val="22"/>
          <w:szCs w:val="22"/>
        </w:rPr>
        <w:t>entro il 2</w:t>
      </w:r>
      <w:r w:rsidR="008478EB" w:rsidRPr="00233189">
        <w:rPr>
          <w:rFonts w:ascii="Bookman Old Style" w:eastAsia="Times New Roman" w:hAnsi="Bookman Old Style" w:cs="Times New Roman"/>
          <w:b/>
          <w:bCs/>
          <w:i/>
          <w:iCs/>
          <w:sz w:val="22"/>
          <w:szCs w:val="22"/>
        </w:rPr>
        <w:t>8</w:t>
      </w:r>
      <w:r w:rsidR="00E96731" w:rsidRPr="00233189">
        <w:rPr>
          <w:rFonts w:ascii="Bookman Old Style" w:eastAsia="Times New Roman" w:hAnsi="Bookman Old Style" w:cs="Times New Roman"/>
          <w:b/>
          <w:bCs/>
          <w:i/>
          <w:iCs/>
          <w:sz w:val="22"/>
          <w:szCs w:val="22"/>
        </w:rPr>
        <w:t xml:space="preserve"> febbraio </w:t>
      </w:r>
      <w:r w:rsidR="008478EB" w:rsidRPr="00233189">
        <w:rPr>
          <w:rFonts w:ascii="Bookman Old Style" w:eastAsia="Times New Roman" w:hAnsi="Bookman Old Style" w:cs="Times New Roman"/>
          <w:b/>
          <w:bCs/>
          <w:i/>
          <w:iCs/>
          <w:sz w:val="22"/>
          <w:szCs w:val="22"/>
        </w:rPr>
        <w:t>2022.</w:t>
      </w:r>
    </w:p>
    <w:p w:rsidR="00207FAA" w:rsidRPr="000A4E63" w:rsidRDefault="00207FAA" w:rsidP="00207FAA">
      <w:pPr>
        <w:jc w:val="both"/>
        <w:rPr>
          <w:rFonts w:ascii="Bookman Old Style" w:eastAsia="Times New Roman" w:hAnsi="Bookman Old Style" w:cs="Times New Roman"/>
          <w:sz w:val="22"/>
          <w:szCs w:val="22"/>
        </w:rPr>
      </w:pPr>
    </w:p>
    <w:p w:rsidR="00207FAA" w:rsidRPr="00950095" w:rsidRDefault="00207FAA" w:rsidP="00207FAA">
      <w:pPr>
        <w:pStyle w:val="Paragrafoelenco"/>
        <w:numPr>
          <w:ilvl w:val="0"/>
          <w:numId w:val="16"/>
        </w:numPr>
        <w:rPr>
          <w:rFonts w:ascii="Bookman Old Style" w:hAnsi="Bookman Old Style"/>
          <w:b/>
          <w:bCs/>
          <w:color w:val="FF0000"/>
        </w:rPr>
      </w:pPr>
      <w:r w:rsidRPr="00950095">
        <w:rPr>
          <w:rFonts w:ascii="Bookman Old Style" w:hAnsi="Bookman Old Style"/>
          <w:b/>
          <w:bCs/>
          <w:color w:val="FF0000"/>
        </w:rPr>
        <w:t>Disposizioni in materia di indennità dei sindaci metropolitani, dei sindaci e degli amministratori locali (</w:t>
      </w:r>
      <w:r w:rsidR="001C4E70" w:rsidRPr="00950095">
        <w:rPr>
          <w:rFonts w:ascii="Bookman Old Style" w:hAnsi="Bookman Old Style"/>
          <w:b/>
          <w:bCs/>
          <w:color w:val="FF0000"/>
        </w:rPr>
        <w:t>art. 1, c</w:t>
      </w:r>
      <w:r w:rsidR="00441D01" w:rsidRPr="00950095">
        <w:rPr>
          <w:rFonts w:ascii="Bookman Old Style" w:hAnsi="Bookman Old Style"/>
          <w:b/>
          <w:bCs/>
          <w:color w:val="FF0000"/>
        </w:rPr>
        <w:t xml:space="preserve">ommi </w:t>
      </w:r>
      <w:r w:rsidR="000C4A25" w:rsidRPr="00950095">
        <w:rPr>
          <w:rFonts w:ascii="Bookman Old Style" w:hAnsi="Bookman Old Style"/>
          <w:b/>
          <w:bCs/>
          <w:color w:val="FF0000"/>
        </w:rPr>
        <w:t>583</w:t>
      </w:r>
      <w:r w:rsidR="001C4E70" w:rsidRPr="00950095">
        <w:rPr>
          <w:rFonts w:ascii="Bookman Old Style" w:hAnsi="Bookman Old Style"/>
          <w:b/>
          <w:bCs/>
          <w:color w:val="FF0000"/>
        </w:rPr>
        <w:t>-</w:t>
      </w:r>
      <w:r w:rsidR="000C4A25" w:rsidRPr="00950095">
        <w:rPr>
          <w:rFonts w:ascii="Bookman Old Style" w:hAnsi="Bookman Old Style"/>
          <w:b/>
          <w:bCs/>
          <w:color w:val="FF0000"/>
        </w:rPr>
        <w:t>587</w:t>
      </w:r>
      <w:r w:rsidRPr="00950095">
        <w:rPr>
          <w:rFonts w:ascii="Bookman Old Style" w:hAnsi="Bookman Old Style"/>
          <w:b/>
          <w:bCs/>
          <w:color w:val="FF0000"/>
        </w:rPr>
        <w:t>)</w:t>
      </w:r>
    </w:p>
    <w:p w:rsidR="00FD0700" w:rsidRPr="00950095" w:rsidRDefault="00FD0700" w:rsidP="00207FAA">
      <w:pPr>
        <w:pStyle w:val="Corpotesto"/>
        <w:spacing w:line="232" w:lineRule="auto"/>
        <w:ind w:right="199"/>
        <w:rPr>
          <w:rFonts w:ascii="Bookman Old Style" w:hAnsi="Bookman Old Style"/>
          <w:color w:val="FF0000"/>
          <w:sz w:val="22"/>
          <w:szCs w:val="22"/>
        </w:rPr>
      </w:pPr>
    </w:p>
    <w:p w:rsidR="00207FAA" w:rsidRPr="000A4E63" w:rsidRDefault="00752A93" w:rsidP="00207FAA">
      <w:pPr>
        <w:pStyle w:val="Corpotesto"/>
        <w:spacing w:line="232" w:lineRule="auto"/>
        <w:ind w:right="199"/>
        <w:rPr>
          <w:rFonts w:ascii="Bookman Old Style" w:hAnsi="Bookman Old Style"/>
          <w:sz w:val="22"/>
          <w:szCs w:val="22"/>
        </w:rPr>
      </w:pPr>
      <w:r>
        <w:rPr>
          <w:rFonts w:ascii="Bookman Old Style" w:hAnsi="Bookman Old Style"/>
          <w:sz w:val="22"/>
          <w:szCs w:val="22"/>
        </w:rPr>
        <w:t>Si prevede</w:t>
      </w:r>
      <w:r w:rsidR="00207FAA" w:rsidRPr="000A4E63">
        <w:rPr>
          <w:rFonts w:ascii="Bookman Old Style" w:hAnsi="Bookman Old Style"/>
          <w:sz w:val="22"/>
          <w:szCs w:val="22"/>
        </w:rPr>
        <w:t xml:space="preserve"> che, a decorrere dal 2024, l'indennità di funzione dei </w:t>
      </w:r>
      <w:r w:rsidR="00FD0700">
        <w:rPr>
          <w:rFonts w:ascii="Bookman Old Style" w:hAnsi="Bookman Old Style"/>
          <w:sz w:val="22"/>
          <w:szCs w:val="22"/>
        </w:rPr>
        <w:t>S</w:t>
      </w:r>
      <w:r w:rsidR="00207FAA" w:rsidRPr="000A4E63">
        <w:rPr>
          <w:rFonts w:ascii="Bookman Old Style" w:hAnsi="Bookman Old Style"/>
          <w:sz w:val="22"/>
          <w:szCs w:val="22"/>
        </w:rPr>
        <w:t xml:space="preserve">indaci metropolitani e dei </w:t>
      </w:r>
      <w:r w:rsidR="00FD0700">
        <w:rPr>
          <w:rFonts w:ascii="Bookman Old Style" w:hAnsi="Bookman Old Style"/>
          <w:sz w:val="22"/>
          <w:szCs w:val="22"/>
        </w:rPr>
        <w:t>S</w:t>
      </w:r>
      <w:r w:rsidR="00207FAA" w:rsidRPr="000A4E63">
        <w:rPr>
          <w:rFonts w:ascii="Bookman Old Style" w:hAnsi="Bookman Old Style"/>
          <w:sz w:val="22"/>
          <w:szCs w:val="22"/>
        </w:rPr>
        <w:t xml:space="preserve">indaci dei </w:t>
      </w:r>
      <w:r w:rsidR="00FD0700">
        <w:rPr>
          <w:rFonts w:ascii="Bookman Old Style" w:hAnsi="Bookman Old Style"/>
          <w:sz w:val="22"/>
          <w:szCs w:val="22"/>
        </w:rPr>
        <w:t>C</w:t>
      </w:r>
      <w:r w:rsidR="00207FAA" w:rsidRPr="000A4E63">
        <w:rPr>
          <w:rFonts w:ascii="Bookman Old Style" w:hAnsi="Bookman Old Style"/>
          <w:sz w:val="22"/>
          <w:szCs w:val="22"/>
        </w:rPr>
        <w:t>omuni ubicati nelle regioni a statuto ordinario, sia parametrato al trattamento economico complessivo dei presidenti delle regioni sulla base delle seguenti percentuali che tengono conto della popolazione residente:</w:t>
      </w:r>
    </w:p>
    <w:p w:rsidR="00207FAA" w:rsidRPr="000A4E63" w:rsidRDefault="00207FAA" w:rsidP="00207FAA">
      <w:pPr>
        <w:pStyle w:val="Paragrafoelenco"/>
        <w:numPr>
          <w:ilvl w:val="0"/>
          <w:numId w:val="5"/>
        </w:numPr>
        <w:tabs>
          <w:tab w:val="left" w:pos="877"/>
          <w:tab w:val="left" w:pos="878"/>
        </w:tabs>
        <w:spacing w:line="253" w:lineRule="exact"/>
        <w:rPr>
          <w:rFonts w:ascii="Bookman Old Style" w:hAnsi="Bookman Old Style"/>
        </w:rPr>
      </w:pPr>
      <w:r w:rsidRPr="000A4E63">
        <w:rPr>
          <w:rFonts w:ascii="Bookman Old Style" w:hAnsi="Bookman Old Style"/>
        </w:rPr>
        <w:t xml:space="preserve">100 per cento per i </w:t>
      </w:r>
      <w:r w:rsidR="00FD0700">
        <w:rPr>
          <w:rFonts w:ascii="Bookman Old Style" w:hAnsi="Bookman Old Style"/>
        </w:rPr>
        <w:t>S</w:t>
      </w:r>
      <w:r w:rsidRPr="000A4E63">
        <w:rPr>
          <w:rFonts w:ascii="Bookman Old Style" w:hAnsi="Bookman Old Style"/>
        </w:rPr>
        <w:t>indaci metropolitani;</w:t>
      </w:r>
    </w:p>
    <w:p w:rsidR="00207FAA" w:rsidRPr="000A4E63" w:rsidRDefault="00207FAA" w:rsidP="00207FAA">
      <w:pPr>
        <w:pStyle w:val="Paragrafoelenco"/>
        <w:numPr>
          <w:ilvl w:val="0"/>
          <w:numId w:val="5"/>
        </w:numPr>
        <w:tabs>
          <w:tab w:val="left" w:pos="882"/>
          <w:tab w:val="left" w:pos="883"/>
        </w:tabs>
        <w:spacing w:before="4" w:line="228" w:lineRule="auto"/>
        <w:ind w:right="197"/>
        <w:jc w:val="both"/>
        <w:rPr>
          <w:rFonts w:ascii="Bookman Old Style" w:hAnsi="Bookman Old Style"/>
        </w:rPr>
      </w:pPr>
      <w:r w:rsidRPr="000A4E63">
        <w:rPr>
          <w:rFonts w:ascii="Bookman Old Style" w:hAnsi="Bookman Old Style"/>
        </w:rPr>
        <w:t xml:space="preserve">80 per cento per i </w:t>
      </w:r>
      <w:r w:rsidR="00FD0700">
        <w:rPr>
          <w:rFonts w:ascii="Bookman Old Style" w:hAnsi="Bookman Old Style"/>
        </w:rPr>
        <w:t>S</w:t>
      </w:r>
      <w:r w:rsidRPr="000A4E63">
        <w:rPr>
          <w:rFonts w:ascii="Bookman Old Style" w:hAnsi="Bookman Old Style"/>
        </w:rPr>
        <w:t xml:space="preserve">indaci dei comuni capoluogo di regione e per i </w:t>
      </w:r>
      <w:r w:rsidR="00FD0700">
        <w:rPr>
          <w:rFonts w:ascii="Bookman Old Style" w:hAnsi="Bookman Old Style"/>
        </w:rPr>
        <w:t>S</w:t>
      </w:r>
      <w:r w:rsidRPr="000A4E63">
        <w:rPr>
          <w:rFonts w:ascii="Bookman Old Style" w:hAnsi="Bookman Old Style"/>
        </w:rPr>
        <w:t>indaci dei comuni capoluogo di provincia con popolazione superiore a 100.000 abitanti;</w:t>
      </w:r>
    </w:p>
    <w:p w:rsidR="00207FAA" w:rsidRPr="000A4E63" w:rsidRDefault="00207FAA" w:rsidP="00207FAA">
      <w:pPr>
        <w:pStyle w:val="Corpotesto"/>
        <w:numPr>
          <w:ilvl w:val="0"/>
          <w:numId w:val="5"/>
        </w:numPr>
        <w:tabs>
          <w:tab w:val="left" w:pos="881"/>
        </w:tabs>
        <w:spacing w:line="235" w:lineRule="auto"/>
        <w:ind w:right="956"/>
        <w:rPr>
          <w:rFonts w:ascii="Bookman Old Style" w:hAnsi="Bookman Old Style"/>
          <w:sz w:val="22"/>
          <w:szCs w:val="22"/>
        </w:rPr>
      </w:pPr>
      <w:r w:rsidRPr="000A4E63">
        <w:rPr>
          <w:rFonts w:ascii="Bookman Old Style" w:hAnsi="Bookman Old Style"/>
          <w:sz w:val="22"/>
          <w:szCs w:val="22"/>
        </w:rPr>
        <w:t xml:space="preserve">70 per cento per i </w:t>
      </w:r>
      <w:r w:rsidR="00FD0700">
        <w:rPr>
          <w:rFonts w:ascii="Bookman Old Style" w:hAnsi="Bookman Old Style"/>
          <w:sz w:val="22"/>
          <w:szCs w:val="22"/>
        </w:rPr>
        <w:t>S</w:t>
      </w:r>
      <w:r w:rsidRPr="000A4E63">
        <w:rPr>
          <w:rFonts w:ascii="Bookman Old Style" w:hAnsi="Bookman Old Style"/>
          <w:sz w:val="22"/>
          <w:szCs w:val="22"/>
        </w:rPr>
        <w:t>indaci dei comuni capoluogo di provincia con popolazione fino a 100.000 abitanti;</w:t>
      </w:r>
    </w:p>
    <w:p w:rsidR="00207FAA" w:rsidRPr="000A4E63" w:rsidRDefault="00207FAA" w:rsidP="00207FAA">
      <w:pPr>
        <w:pStyle w:val="Paragrafoelenco"/>
        <w:numPr>
          <w:ilvl w:val="0"/>
          <w:numId w:val="5"/>
        </w:numPr>
        <w:tabs>
          <w:tab w:val="left" w:pos="885"/>
          <w:tab w:val="left" w:pos="886"/>
        </w:tabs>
        <w:spacing w:line="257" w:lineRule="exact"/>
        <w:rPr>
          <w:rFonts w:ascii="Bookman Old Style" w:hAnsi="Bookman Old Style"/>
        </w:rPr>
      </w:pPr>
      <w:r w:rsidRPr="000A4E63">
        <w:rPr>
          <w:rFonts w:ascii="Bookman Old Style" w:hAnsi="Bookman Old Style"/>
        </w:rPr>
        <w:t xml:space="preserve">45 per cento per i </w:t>
      </w:r>
      <w:r w:rsidR="00FD0700">
        <w:rPr>
          <w:rFonts w:ascii="Bookman Old Style" w:hAnsi="Bookman Old Style"/>
        </w:rPr>
        <w:t>S</w:t>
      </w:r>
      <w:r w:rsidRPr="000A4E63">
        <w:rPr>
          <w:rFonts w:ascii="Bookman Old Style" w:hAnsi="Bookman Old Style"/>
        </w:rPr>
        <w:t>indaci dei comuni con popolazione superiore a 50.000 abitanti;</w:t>
      </w:r>
    </w:p>
    <w:p w:rsidR="00207FAA" w:rsidRPr="000A4E63" w:rsidRDefault="00207FAA" w:rsidP="00207FAA">
      <w:pPr>
        <w:pStyle w:val="Paragrafoelenco"/>
        <w:numPr>
          <w:ilvl w:val="0"/>
          <w:numId w:val="5"/>
        </w:numPr>
        <w:tabs>
          <w:tab w:val="left" w:pos="880"/>
          <w:tab w:val="left" w:pos="881"/>
        </w:tabs>
        <w:spacing w:line="242" w:lineRule="exact"/>
        <w:rPr>
          <w:rFonts w:ascii="Bookman Old Style" w:hAnsi="Bookman Old Style"/>
        </w:rPr>
      </w:pPr>
      <w:r w:rsidRPr="000A4E63">
        <w:rPr>
          <w:rFonts w:ascii="Bookman Old Style" w:hAnsi="Bookman Old Style"/>
        </w:rPr>
        <w:t xml:space="preserve">35 per cento per i </w:t>
      </w:r>
      <w:r w:rsidR="00FD0700">
        <w:rPr>
          <w:rFonts w:ascii="Bookman Old Style" w:hAnsi="Bookman Old Style"/>
        </w:rPr>
        <w:t>S</w:t>
      </w:r>
      <w:r w:rsidRPr="000A4E63">
        <w:rPr>
          <w:rFonts w:ascii="Bookman Old Style" w:hAnsi="Bookman Old Style"/>
        </w:rPr>
        <w:t>indaci comuni con popolazione da 30.001 a 50.000 abitanti;</w:t>
      </w:r>
    </w:p>
    <w:p w:rsidR="00207FAA" w:rsidRPr="000A4E63" w:rsidRDefault="00207FAA" w:rsidP="00207FAA">
      <w:pPr>
        <w:pStyle w:val="Paragrafoelenco"/>
        <w:numPr>
          <w:ilvl w:val="0"/>
          <w:numId w:val="5"/>
        </w:numPr>
        <w:tabs>
          <w:tab w:val="left" w:pos="873"/>
          <w:tab w:val="left" w:pos="874"/>
        </w:tabs>
        <w:rPr>
          <w:rFonts w:ascii="Bookman Old Style" w:hAnsi="Bookman Old Style"/>
        </w:rPr>
      </w:pPr>
      <w:r w:rsidRPr="000A4E63">
        <w:rPr>
          <w:rFonts w:ascii="Bookman Old Style" w:hAnsi="Bookman Old Style"/>
        </w:rPr>
        <w:t xml:space="preserve">30 per cento per i </w:t>
      </w:r>
      <w:r w:rsidR="00FD0700">
        <w:rPr>
          <w:rFonts w:ascii="Bookman Old Style" w:hAnsi="Bookman Old Style"/>
        </w:rPr>
        <w:t>S</w:t>
      </w:r>
      <w:r w:rsidRPr="000A4E63">
        <w:rPr>
          <w:rFonts w:ascii="Bookman Old Style" w:hAnsi="Bookman Old Style"/>
        </w:rPr>
        <w:t>indaci dei comuni con popolazione da 10.001 a 30.000 abitanti;</w:t>
      </w:r>
    </w:p>
    <w:p w:rsidR="00207FAA" w:rsidRPr="000A4E63" w:rsidRDefault="00207FAA" w:rsidP="00207FAA">
      <w:pPr>
        <w:pStyle w:val="Paragrafoelenco"/>
        <w:numPr>
          <w:ilvl w:val="0"/>
          <w:numId w:val="5"/>
        </w:numPr>
        <w:tabs>
          <w:tab w:val="left" w:pos="877"/>
          <w:tab w:val="left" w:pos="878"/>
        </w:tabs>
        <w:rPr>
          <w:rFonts w:ascii="Bookman Old Style" w:hAnsi="Bookman Old Style"/>
        </w:rPr>
      </w:pPr>
      <w:r w:rsidRPr="000A4E63">
        <w:rPr>
          <w:rFonts w:ascii="Bookman Old Style" w:hAnsi="Bookman Old Style"/>
        </w:rPr>
        <w:t xml:space="preserve">29 per cento per i </w:t>
      </w:r>
      <w:r w:rsidR="00FD0700">
        <w:rPr>
          <w:rFonts w:ascii="Bookman Old Style" w:hAnsi="Bookman Old Style"/>
        </w:rPr>
        <w:t>S</w:t>
      </w:r>
      <w:r w:rsidRPr="000A4E63">
        <w:rPr>
          <w:rFonts w:ascii="Bookman Old Style" w:hAnsi="Bookman Old Style"/>
        </w:rPr>
        <w:t>indaci dei comuni con popolazione da 5.001 a 10.000 abitanti;</w:t>
      </w:r>
    </w:p>
    <w:p w:rsidR="00207FAA" w:rsidRPr="000A4E63" w:rsidRDefault="00207FAA" w:rsidP="00207FAA">
      <w:pPr>
        <w:pStyle w:val="Paragrafoelenco"/>
        <w:numPr>
          <w:ilvl w:val="0"/>
          <w:numId w:val="5"/>
        </w:numPr>
        <w:tabs>
          <w:tab w:val="left" w:pos="877"/>
          <w:tab w:val="left" w:pos="878"/>
        </w:tabs>
        <w:rPr>
          <w:rFonts w:ascii="Bookman Old Style" w:hAnsi="Bookman Old Style"/>
        </w:rPr>
      </w:pPr>
      <w:r w:rsidRPr="000A4E63">
        <w:rPr>
          <w:rFonts w:ascii="Bookman Old Style" w:hAnsi="Bookman Old Style"/>
        </w:rPr>
        <w:t xml:space="preserve">22 per cento per i </w:t>
      </w:r>
      <w:r w:rsidR="00FD0700">
        <w:rPr>
          <w:rFonts w:ascii="Bookman Old Style" w:hAnsi="Bookman Old Style"/>
        </w:rPr>
        <w:t>S</w:t>
      </w:r>
      <w:r w:rsidRPr="000A4E63">
        <w:rPr>
          <w:rFonts w:ascii="Bookman Old Style" w:hAnsi="Bookman Old Style"/>
        </w:rPr>
        <w:t>indaci dei comuni con popolazione da 3.001 a 5.000 abitanti;</w:t>
      </w:r>
    </w:p>
    <w:p w:rsidR="00207FAA" w:rsidRPr="000A4E63" w:rsidRDefault="00207FAA" w:rsidP="00207FAA">
      <w:pPr>
        <w:pStyle w:val="Paragrafoelenco"/>
        <w:numPr>
          <w:ilvl w:val="0"/>
          <w:numId w:val="5"/>
        </w:numPr>
        <w:tabs>
          <w:tab w:val="left" w:pos="877"/>
          <w:tab w:val="left" w:pos="878"/>
        </w:tabs>
        <w:rPr>
          <w:rFonts w:ascii="Bookman Old Style" w:hAnsi="Bookman Old Style"/>
        </w:rPr>
      </w:pPr>
      <w:r w:rsidRPr="000A4E63">
        <w:rPr>
          <w:rFonts w:ascii="Bookman Old Style" w:hAnsi="Bookman Old Style"/>
        </w:rPr>
        <w:t xml:space="preserve">16 per cento per i </w:t>
      </w:r>
      <w:r w:rsidR="00FD0700">
        <w:rPr>
          <w:rFonts w:ascii="Bookman Old Style" w:hAnsi="Bookman Old Style"/>
        </w:rPr>
        <w:t>s</w:t>
      </w:r>
      <w:r w:rsidRPr="000A4E63">
        <w:rPr>
          <w:rFonts w:ascii="Bookman Old Style" w:hAnsi="Bookman Old Style"/>
        </w:rPr>
        <w:t>indaci comuni con popolazione fino a 3.000 abitanti.</w:t>
      </w:r>
    </w:p>
    <w:p w:rsidR="00207FAA" w:rsidRPr="000A4E63" w:rsidRDefault="00207FAA" w:rsidP="00207FAA">
      <w:pPr>
        <w:pStyle w:val="Paragrafoelenco"/>
        <w:tabs>
          <w:tab w:val="left" w:pos="877"/>
          <w:tab w:val="left" w:pos="878"/>
        </w:tabs>
        <w:ind w:left="720" w:firstLine="0"/>
        <w:rPr>
          <w:rFonts w:ascii="Bookman Old Style" w:hAnsi="Bookman Old Style"/>
        </w:rPr>
      </w:pPr>
    </w:p>
    <w:p w:rsidR="00207FAA" w:rsidRPr="000A4E63" w:rsidRDefault="00207FAA" w:rsidP="00E3456B">
      <w:pPr>
        <w:pStyle w:val="Corpotesto"/>
        <w:spacing w:line="230" w:lineRule="auto"/>
        <w:ind w:right="187" w:firstLine="3"/>
        <w:rPr>
          <w:rFonts w:ascii="Bookman Old Style" w:hAnsi="Bookman Old Style"/>
          <w:sz w:val="22"/>
          <w:szCs w:val="22"/>
        </w:rPr>
      </w:pPr>
      <w:r w:rsidRPr="000A4E63">
        <w:rPr>
          <w:rFonts w:ascii="Bookman Old Style" w:hAnsi="Bookman Old Style"/>
          <w:sz w:val="22"/>
          <w:szCs w:val="22"/>
        </w:rPr>
        <w:t xml:space="preserve">La norma prevede inoltre che, in sede di prima applicazione, tale indennità di funzione sia adeguata al 45% e al 68% delle suddette percentuali rispettivamente negli anni 2022 e 2023. </w:t>
      </w:r>
      <w:r w:rsidRPr="000A4E63">
        <w:rPr>
          <w:rFonts w:ascii="Bookman Old Style" w:hAnsi="Bookman Old Style"/>
          <w:b/>
          <w:bCs/>
          <w:sz w:val="22"/>
          <w:szCs w:val="22"/>
        </w:rPr>
        <w:t>Dispone, altresì, che a decorrere dall’anno 2022, la predetta indennità possa essere corrisposta nelle integrali misure di cui alle lettere precedenti nel rispetto pluriennale dell’equilibrio di bilancio</w:t>
      </w:r>
      <w:r w:rsidRPr="000A4E63">
        <w:rPr>
          <w:rFonts w:ascii="Bookman Old Style" w:hAnsi="Bookman Old Style"/>
          <w:sz w:val="22"/>
          <w:szCs w:val="22"/>
        </w:rPr>
        <w:t>.</w:t>
      </w:r>
    </w:p>
    <w:p w:rsidR="00207FAA" w:rsidRPr="000A4E63" w:rsidRDefault="00752A93" w:rsidP="00E3456B">
      <w:pPr>
        <w:pStyle w:val="Corpotesto"/>
        <w:spacing w:line="232" w:lineRule="auto"/>
        <w:ind w:left="7" w:right="186" w:hanging="5"/>
        <w:rPr>
          <w:rFonts w:ascii="Bookman Old Style" w:hAnsi="Bookman Old Style"/>
          <w:sz w:val="22"/>
          <w:szCs w:val="22"/>
        </w:rPr>
      </w:pPr>
      <w:r>
        <w:rPr>
          <w:rFonts w:ascii="Bookman Old Style" w:hAnsi="Bookman Old Style"/>
          <w:sz w:val="22"/>
          <w:szCs w:val="22"/>
        </w:rPr>
        <w:t>Vengono</w:t>
      </w:r>
      <w:r w:rsidR="00207FAA" w:rsidRPr="000A4E63">
        <w:rPr>
          <w:rFonts w:ascii="Bookman Old Style" w:hAnsi="Bookman Old Style"/>
          <w:sz w:val="22"/>
          <w:szCs w:val="22"/>
        </w:rPr>
        <w:t xml:space="preserve"> adegua</w:t>
      </w:r>
      <w:r>
        <w:rPr>
          <w:rFonts w:ascii="Bookman Old Style" w:hAnsi="Bookman Old Style"/>
          <w:sz w:val="22"/>
          <w:szCs w:val="22"/>
        </w:rPr>
        <w:t>te</w:t>
      </w:r>
      <w:r w:rsidR="00207FAA" w:rsidRPr="000A4E63">
        <w:rPr>
          <w:rFonts w:ascii="Bookman Old Style" w:hAnsi="Bookman Old Style"/>
          <w:sz w:val="22"/>
          <w:szCs w:val="22"/>
        </w:rPr>
        <w:t xml:space="preserve"> le indennità di funzione da corrispondere ai vicesindaci, agli assessori ed ai presidenti dei consigli comunali all’indennità di funzione dei corrispondenti sindaci come incrementate per effetto del comma </w:t>
      </w:r>
      <w:r w:rsidR="001D2014">
        <w:rPr>
          <w:rFonts w:ascii="Bookman Old Style" w:hAnsi="Bookman Old Style"/>
          <w:sz w:val="22"/>
          <w:szCs w:val="22"/>
        </w:rPr>
        <w:t>583</w:t>
      </w:r>
      <w:r w:rsidR="00207FAA" w:rsidRPr="000A4E63">
        <w:rPr>
          <w:rFonts w:ascii="Bookman Old Style" w:hAnsi="Bookman Old Style"/>
          <w:sz w:val="22"/>
          <w:szCs w:val="22"/>
        </w:rPr>
        <w:t>.</w:t>
      </w:r>
    </w:p>
    <w:p w:rsidR="00207FAA" w:rsidRPr="000A4E63" w:rsidRDefault="001D2014" w:rsidP="00E3456B">
      <w:pPr>
        <w:pStyle w:val="Corpotesto"/>
        <w:spacing w:line="230" w:lineRule="auto"/>
        <w:ind w:left="7" w:right="172" w:hanging="5"/>
        <w:rPr>
          <w:rFonts w:ascii="Bookman Old Style" w:hAnsi="Bookman Old Style"/>
          <w:sz w:val="22"/>
          <w:szCs w:val="22"/>
        </w:rPr>
      </w:pPr>
      <w:r>
        <w:rPr>
          <w:rFonts w:ascii="Bookman Old Style" w:hAnsi="Bookman Old Style"/>
          <w:sz w:val="22"/>
          <w:szCs w:val="22"/>
        </w:rPr>
        <w:t>Vengono</w:t>
      </w:r>
      <w:r w:rsidR="00207FAA" w:rsidRPr="000A4E63">
        <w:rPr>
          <w:rFonts w:ascii="Bookman Old Style" w:hAnsi="Bookman Old Style"/>
          <w:sz w:val="22"/>
          <w:szCs w:val="22"/>
        </w:rPr>
        <w:t xml:space="preserve"> stanzia</w:t>
      </w:r>
      <w:r>
        <w:rPr>
          <w:rFonts w:ascii="Bookman Old Style" w:hAnsi="Bookman Old Style"/>
          <w:sz w:val="22"/>
          <w:szCs w:val="22"/>
        </w:rPr>
        <w:t>te</w:t>
      </w:r>
      <w:r w:rsidR="00207FAA" w:rsidRPr="000A4E63">
        <w:rPr>
          <w:rFonts w:ascii="Bookman Old Style" w:hAnsi="Bookman Old Style"/>
          <w:sz w:val="22"/>
          <w:szCs w:val="22"/>
        </w:rPr>
        <w:t xml:space="preserve"> le risorse per 1’</w:t>
      </w:r>
      <w:r w:rsidR="00940A36">
        <w:rPr>
          <w:rFonts w:ascii="Bookman Old Style" w:hAnsi="Bookman Old Style"/>
          <w:sz w:val="22"/>
          <w:szCs w:val="22"/>
        </w:rPr>
        <w:t xml:space="preserve"> </w:t>
      </w:r>
      <w:r w:rsidR="00207FAA" w:rsidRPr="000A4E63">
        <w:rPr>
          <w:rFonts w:ascii="Bookman Old Style" w:hAnsi="Bookman Old Style"/>
          <w:sz w:val="22"/>
          <w:szCs w:val="22"/>
        </w:rPr>
        <w:t xml:space="preserve">attuazione </w:t>
      </w:r>
      <w:r>
        <w:rPr>
          <w:rFonts w:ascii="Bookman Old Style" w:hAnsi="Bookman Old Style"/>
          <w:sz w:val="22"/>
          <w:szCs w:val="22"/>
        </w:rPr>
        <w:t>della presente norma</w:t>
      </w:r>
      <w:r w:rsidR="00207FAA" w:rsidRPr="000A4E63">
        <w:rPr>
          <w:rFonts w:ascii="Bookman Old Style" w:hAnsi="Bookman Old Style"/>
          <w:sz w:val="22"/>
          <w:szCs w:val="22"/>
        </w:rPr>
        <w:t xml:space="preserve"> incrementando di 100 milioni di euro per l’anno 2022, 150 milioni di euro per l’arino 2023 e 220 milioni di euro a decorrere dall’anno 2024 il fondo destinato alla corresponsione dell’indennità di funzione minima per l’esercizio della carica di sindaco e per i presidenti di provincia di cui all’articolo 57-quater, comma 2, de1 decreto legge 26 ottobre 2019, n. 124. </w:t>
      </w:r>
    </w:p>
    <w:p w:rsidR="00207FAA" w:rsidRDefault="001D2014" w:rsidP="00E3456B">
      <w:pPr>
        <w:pStyle w:val="Corpotesto"/>
        <w:spacing w:line="230" w:lineRule="auto"/>
        <w:ind w:left="7" w:right="172" w:hanging="5"/>
        <w:rPr>
          <w:rFonts w:ascii="Bookman Old Style" w:hAnsi="Bookman Old Style"/>
          <w:sz w:val="22"/>
          <w:szCs w:val="22"/>
        </w:rPr>
      </w:pPr>
      <w:r>
        <w:rPr>
          <w:rFonts w:ascii="Bookman Old Style" w:hAnsi="Bookman Old Style"/>
          <w:sz w:val="22"/>
          <w:szCs w:val="22"/>
        </w:rPr>
        <w:t>Infine si</w:t>
      </w:r>
      <w:r w:rsidR="00207FAA" w:rsidRPr="000A4E63">
        <w:rPr>
          <w:rFonts w:ascii="Bookman Old Style" w:hAnsi="Bookman Old Style"/>
          <w:sz w:val="22"/>
          <w:szCs w:val="22"/>
        </w:rPr>
        <w:t xml:space="preserve"> demanda a un decreto del Ministro dell'interno, di concerto con il Ministro dell'economia e delle finanze, previa intesa in sede di Conferenza Stato-città ed autonomie locali la ripartizione delle risorse tra i comuni interessati e dispone che i comuni beneficiari riversino ad apposito capitolo di entrata del bilancio dello Stato l’importo del contributo non utilizzato nell’esercizio finanziario.</w:t>
      </w:r>
    </w:p>
    <w:p w:rsidR="00FD0700" w:rsidRDefault="00FD0700" w:rsidP="00E3456B">
      <w:pPr>
        <w:pStyle w:val="Corpotesto"/>
        <w:spacing w:line="230" w:lineRule="auto"/>
        <w:ind w:left="7" w:right="172" w:hanging="5"/>
        <w:rPr>
          <w:rFonts w:ascii="Bookman Old Style" w:hAnsi="Bookman Old Style"/>
          <w:sz w:val="22"/>
          <w:szCs w:val="22"/>
        </w:rPr>
      </w:pPr>
    </w:p>
    <w:p w:rsidR="00FD0700" w:rsidRPr="000A4E63" w:rsidRDefault="00FD0700" w:rsidP="00E3456B">
      <w:pPr>
        <w:pStyle w:val="Corpotesto"/>
        <w:spacing w:line="230" w:lineRule="auto"/>
        <w:ind w:left="7" w:right="172" w:hanging="5"/>
        <w:rPr>
          <w:rFonts w:ascii="Bookman Old Style" w:hAnsi="Bookman Old Style"/>
          <w:sz w:val="22"/>
          <w:szCs w:val="22"/>
        </w:rPr>
      </w:pPr>
    </w:p>
    <w:p w:rsidR="00207FAA" w:rsidRPr="000A4E63" w:rsidRDefault="00207FAA" w:rsidP="00207FAA">
      <w:pPr>
        <w:pStyle w:val="Corpotesto"/>
        <w:spacing w:before="4"/>
        <w:jc w:val="left"/>
        <w:rPr>
          <w:rFonts w:ascii="Bookman Old Style" w:hAnsi="Bookman Old Style"/>
          <w:sz w:val="22"/>
          <w:szCs w:val="22"/>
        </w:rPr>
      </w:pPr>
    </w:p>
    <w:p w:rsidR="00207FAA" w:rsidRPr="00950095" w:rsidRDefault="00207FAA" w:rsidP="00E70E5A">
      <w:pPr>
        <w:pStyle w:val="Paragrafoelenco"/>
        <w:numPr>
          <w:ilvl w:val="0"/>
          <w:numId w:val="16"/>
        </w:numPr>
        <w:spacing w:before="10"/>
        <w:ind w:right="17"/>
        <w:jc w:val="both"/>
        <w:rPr>
          <w:rFonts w:ascii="Bookman Old Style" w:hAnsi="Bookman Old Style"/>
          <w:b/>
          <w:bCs/>
          <w:color w:val="FF0000"/>
        </w:rPr>
      </w:pPr>
      <w:r w:rsidRPr="00950095">
        <w:rPr>
          <w:rFonts w:ascii="Bookman Old Style" w:hAnsi="Bookman Old Style"/>
          <w:b/>
          <w:bCs/>
          <w:color w:val="FF0000"/>
        </w:rPr>
        <w:t>Fondo per iniziative in favore della legalità e per la tutela degli amministratori locali vittime di atti intimidatori (</w:t>
      </w:r>
      <w:r w:rsidR="001C4E70" w:rsidRPr="00950095">
        <w:rPr>
          <w:rFonts w:ascii="Bookman Old Style" w:hAnsi="Bookman Old Style"/>
          <w:b/>
          <w:bCs/>
          <w:color w:val="FF0000"/>
        </w:rPr>
        <w:t xml:space="preserve">art. 1, </w:t>
      </w:r>
      <w:r w:rsidR="000C4A25" w:rsidRPr="00950095">
        <w:rPr>
          <w:rFonts w:ascii="Bookman Old Style" w:hAnsi="Bookman Old Style"/>
          <w:b/>
          <w:bCs/>
          <w:color w:val="FF0000"/>
        </w:rPr>
        <w:t>comma 589</w:t>
      </w:r>
      <w:r w:rsidRPr="00950095">
        <w:rPr>
          <w:rFonts w:ascii="Bookman Old Style" w:hAnsi="Bookman Old Style"/>
          <w:b/>
          <w:bCs/>
          <w:color w:val="FF0000"/>
        </w:rPr>
        <w:t>)</w:t>
      </w:r>
    </w:p>
    <w:p w:rsidR="00207FAA" w:rsidRPr="000A4E63" w:rsidRDefault="00207FAA" w:rsidP="00207FAA">
      <w:pPr>
        <w:widowControl w:val="0"/>
        <w:autoSpaceDE w:val="0"/>
        <w:autoSpaceDN w:val="0"/>
        <w:spacing w:before="11" w:line="252" w:lineRule="auto"/>
        <w:ind w:right="17"/>
        <w:jc w:val="both"/>
        <w:rPr>
          <w:rFonts w:ascii="Bookman Old Style" w:eastAsia="Times New Roman" w:hAnsi="Bookman Old Style" w:cs="Times New Roman"/>
          <w:sz w:val="22"/>
          <w:szCs w:val="22"/>
        </w:rPr>
      </w:pPr>
      <w:r w:rsidRPr="000A4E63">
        <w:rPr>
          <w:rFonts w:ascii="Bookman Old Style" w:eastAsia="Times New Roman" w:hAnsi="Bookman Old Style" w:cs="Times New Roman"/>
          <w:sz w:val="22"/>
          <w:szCs w:val="22"/>
        </w:rPr>
        <w:t xml:space="preserve">La norma istituisce, nello stato di previsione del Ministero dell'interno, </w:t>
      </w:r>
      <w:r w:rsidRPr="000A4E63">
        <w:rPr>
          <w:rFonts w:ascii="Bookman Old Style" w:eastAsia="Times New Roman" w:hAnsi="Bookman Old Style" w:cs="Times New Roman"/>
          <w:b/>
          <w:bCs/>
          <w:sz w:val="22"/>
          <w:szCs w:val="22"/>
        </w:rPr>
        <w:t>un fondo con una dotazione finanziaria pari a 5 milioni di euro per ciascuno degli anni dal 2022 al 2024 destinato agli enti locali per consentire l'adozione di iniziative per la promozione della legalità, per finanziare misure di ristoro del patrimonio dell'ente o in favore degli amministratori locali che hanno subito episodi di intimidazione connessi all'esercizio delle funzioni istituzionali esercitate.</w:t>
      </w:r>
      <w:r w:rsidRPr="000A4E63">
        <w:rPr>
          <w:rFonts w:ascii="Bookman Old Style" w:eastAsia="Times New Roman" w:hAnsi="Bookman Old Style" w:cs="Times New Roman"/>
          <w:sz w:val="22"/>
          <w:szCs w:val="22"/>
        </w:rPr>
        <w:t xml:space="preserve"> Con decreto del Ministro dell'interno, di concerto con il Ministro dell'istruzione e con il Ministro dell'economia e delle finanze, sentita la Conferenza Stato-città ed autonomie locali verranno definiti i criteri e le modalità di riparto del Fondo.</w:t>
      </w:r>
    </w:p>
    <w:p w:rsidR="00207FAA" w:rsidRPr="000A4E63" w:rsidRDefault="00207FAA" w:rsidP="00207FAA">
      <w:pPr>
        <w:widowControl w:val="0"/>
        <w:autoSpaceDE w:val="0"/>
        <w:autoSpaceDN w:val="0"/>
        <w:spacing w:before="11" w:line="252" w:lineRule="auto"/>
        <w:ind w:left="23" w:right="17" w:hanging="4"/>
        <w:jc w:val="both"/>
        <w:rPr>
          <w:rFonts w:ascii="Bookman Old Style" w:eastAsia="Times New Roman" w:hAnsi="Bookman Old Style" w:cs="Times New Roman"/>
          <w:b/>
          <w:bCs/>
          <w:sz w:val="22"/>
          <w:szCs w:val="22"/>
        </w:rPr>
      </w:pPr>
    </w:p>
    <w:p w:rsidR="00207FAA" w:rsidRPr="00950095" w:rsidRDefault="00207FAA" w:rsidP="00E3456B">
      <w:pPr>
        <w:pStyle w:val="Paragrafoelenco"/>
        <w:keepNext/>
        <w:widowControl/>
        <w:numPr>
          <w:ilvl w:val="0"/>
          <w:numId w:val="16"/>
        </w:numPr>
        <w:spacing w:before="10"/>
        <w:ind w:left="714" w:hanging="357"/>
        <w:rPr>
          <w:rFonts w:ascii="Bookman Old Style" w:hAnsi="Bookman Old Style"/>
          <w:b/>
          <w:bCs/>
          <w:color w:val="FF0000"/>
        </w:rPr>
      </w:pPr>
      <w:r w:rsidRPr="00950095">
        <w:rPr>
          <w:rFonts w:ascii="Bookman Old Style" w:hAnsi="Bookman Old Style"/>
          <w:b/>
          <w:bCs/>
          <w:color w:val="FF0000"/>
        </w:rPr>
        <w:t>Proroga dei termini in materia di certificazioni degli enti locali (</w:t>
      </w:r>
      <w:r w:rsidR="001C4E70" w:rsidRPr="00950095">
        <w:rPr>
          <w:rFonts w:ascii="Bookman Old Style" w:hAnsi="Bookman Old Style"/>
          <w:b/>
          <w:bCs/>
          <w:color w:val="FF0000"/>
        </w:rPr>
        <w:t xml:space="preserve">art. 1, </w:t>
      </w:r>
      <w:r w:rsidR="000C4A25" w:rsidRPr="00950095">
        <w:rPr>
          <w:rFonts w:ascii="Bookman Old Style" w:hAnsi="Bookman Old Style"/>
          <w:b/>
          <w:bCs/>
          <w:color w:val="FF0000"/>
        </w:rPr>
        <w:t>commi 590-591</w:t>
      </w:r>
      <w:r w:rsidRPr="00950095">
        <w:rPr>
          <w:rFonts w:ascii="Bookman Old Style" w:hAnsi="Bookman Old Style"/>
          <w:b/>
          <w:bCs/>
          <w:color w:val="FF0000"/>
        </w:rPr>
        <w:t>)</w:t>
      </w:r>
    </w:p>
    <w:p w:rsidR="00207FAA" w:rsidRPr="000A4E63" w:rsidRDefault="00207FAA" w:rsidP="00207FAA">
      <w:pPr>
        <w:widowControl w:val="0"/>
        <w:autoSpaceDE w:val="0"/>
        <w:autoSpaceDN w:val="0"/>
        <w:spacing w:before="11" w:line="247" w:lineRule="auto"/>
        <w:ind w:right="17"/>
        <w:jc w:val="both"/>
        <w:rPr>
          <w:rFonts w:ascii="Bookman Old Style" w:eastAsia="Times New Roman" w:hAnsi="Bookman Old Style" w:cs="Times New Roman"/>
          <w:sz w:val="22"/>
          <w:szCs w:val="22"/>
        </w:rPr>
      </w:pPr>
      <w:r w:rsidRPr="000A4E63">
        <w:rPr>
          <w:rFonts w:ascii="Bookman Old Style" w:eastAsia="Times New Roman" w:hAnsi="Bookman Old Style" w:cs="Times New Roman"/>
          <w:sz w:val="22"/>
          <w:szCs w:val="22"/>
        </w:rPr>
        <w:t>La norma interviene sull'articolo 1, commi 829 e 831, della legge 30 dicembre 2020, n. 178, prorogando il termine della verifica a consuntivo della perdita di gettito e dell'andamento delle spese, dal 30 giugno 2022 al 31 ottobre 2022; in tale data si provvede all'eventuale conseguente regolazione dei rapporti finanziari tra Comuni e tra Province e Città metropolitane, ovvero tra i due predetti comparti mediante apposita rimodulazione dell'importo. La proroga si rende necessaria per poter avere un tempo congruo di analisi ed elaborazione dei dati delle certificazioni trasmesse dagli enti locali, tenendo conto del fatto che la certificazione della perdita di gettito e dell'andamento della spesa per l'anno 2021 è prevista per il 31 maggio 2022, ai sensi dell'articolo 1, comma 827, della richiamata legge n. 178 del 2020.</w:t>
      </w:r>
    </w:p>
    <w:p w:rsidR="00207FAA" w:rsidRPr="000A4E63" w:rsidRDefault="00207FAA" w:rsidP="00207FAA">
      <w:pPr>
        <w:widowControl w:val="0"/>
        <w:autoSpaceDE w:val="0"/>
        <w:autoSpaceDN w:val="0"/>
        <w:spacing w:before="10"/>
        <w:ind w:left="26" w:right="30"/>
        <w:jc w:val="both"/>
        <w:rPr>
          <w:rFonts w:ascii="Bookman Old Style" w:eastAsia="Times New Roman" w:hAnsi="Bookman Old Style" w:cs="Times New Roman"/>
          <w:sz w:val="22"/>
          <w:szCs w:val="22"/>
        </w:rPr>
      </w:pPr>
    </w:p>
    <w:p w:rsidR="00207FAA" w:rsidRPr="00950095" w:rsidRDefault="00207FAA" w:rsidP="00207FAA">
      <w:pPr>
        <w:pStyle w:val="Paragrafoelenco"/>
        <w:numPr>
          <w:ilvl w:val="0"/>
          <w:numId w:val="16"/>
        </w:numPr>
        <w:spacing w:before="10"/>
        <w:ind w:right="30"/>
        <w:rPr>
          <w:rFonts w:ascii="Bookman Old Style" w:hAnsi="Bookman Old Style"/>
          <w:b/>
          <w:bCs/>
          <w:color w:val="FF0000"/>
        </w:rPr>
      </w:pPr>
      <w:r w:rsidRPr="00950095">
        <w:rPr>
          <w:rFonts w:ascii="Bookman Old Style" w:hAnsi="Bookman Old Style"/>
          <w:b/>
          <w:bCs/>
          <w:color w:val="FF0000"/>
        </w:rPr>
        <w:t xml:space="preserve">Disposizioni concernenti le modalità per il riparto delle risorse </w:t>
      </w:r>
      <w:r w:rsidR="00F4089B" w:rsidRPr="00950095">
        <w:rPr>
          <w:rFonts w:ascii="Bookman Old Style" w:hAnsi="Bookman Old Style"/>
          <w:b/>
          <w:bCs/>
          <w:color w:val="FF0000"/>
        </w:rPr>
        <w:t>sui</w:t>
      </w:r>
      <w:r w:rsidRPr="00950095">
        <w:rPr>
          <w:rFonts w:ascii="Bookman Old Style" w:hAnsi="Bookman Old Style"/>
          <w:b/>
          <w:bCs/>
          <w:color w:val="FF0000"/>
        </w:rPr>
        <w:t xml:space="preserve"> Livelli essenziali delle prestazioni da assegnare agli enti territoriali (</w:t>
      </w:r>
      <w:r w:rsidR="00292465" w:rsidRPr="00950095">
        <w:rPr>
          <w:rFonts w:ascii="Bookman Old Style" w:hAnsi="Bookman Old Style"/>
          <w:b/>
          <w:bCs/>
          <w:color w:val="FF0000"/>
        </w:rPr>
        <w:t xml:space="preserve">art. 1, </w:t>
      </w:r>
      <w:r w:rsidR="000C4A25" w:rsidRPr="00950095">
        <w:rPr>
          <w:rFonts w:ascii="Bookman Old Style" w:hAnsi="Bookman Old Style"/>
          <w:b/>
          <w:bCs/>
          <w:color w:val="FF0000"/>
        </w:rPr>
        <w:t>comma 592</w:t>
      </w:r>
      <w:r w:rsidRPr="00950095">
        <w:rPr>
          <w:rFonts w:ascii="Bookman Old Style" w:hAnsi="Bookman Old Style"/>
          <w:b/>
          <w:bCs/>
          <w:color w:val="FF0000"/>
        </w:rPr>
        <w:t>)</w:t>
      </w:r>
    </w:p>
    <w:p w:rsidR="00207FAA" w:rsidRPr="000A4E63" w:rsidRDefault="00207FAA" w:rsidP="00207FAA">
      <w:pPr>
        <w:widowControl w:val="0"/>
        <w:autoSpaceDE w:val="0"/>
        <w:autoSpaceDN w:val="0"/>
        <w:spacing w:before="10" w:line="247" w:lineRule="auto"/>
        <w:ind w:right="17"/>
        <w:jc w:val="both"/>
        <w:rPr>
          <w:rFonts w:ascii="Bookman Old Style" w:eastAsia="Times New Roman" w:hAnsi="Bookman Old Style" w:cs="Times New Roman"/>
          <w:sz w:val="22"/>
          <w:szCs w:val="22"/>
        </w:rPr>
      </w:pPr>
      <w:r w:rsidRPr="000A4E63">
        <w:rPr>
          <w:rFonts w:ascii="Bookman Old Style" w:eastAsia="Times New Roman" w:hAnsi="Bookman Old Style" w:cs="Times New Roman"/>
          <w:sz w:val="22"/>
          <w:szCs w:val="22"/>
        </w:rPr>
        <w:t xml:space="preserve">La norma è volta a prevedere il preventivo assenso della Commissione tecnica per i fabbisogni standard </w:t>
      </w:r>
      <w:r w:rsidR="00D5567A" w:rsidRPr="00D5567A">
        <w:rPr>
          <w:rFonts w:ascii="Bookman Old Style" w:eastAsia="Times New Roman" w:hAnsi="Bookman Old Style" w:cs="Times New Roman"/>
          <w:sz w:val="22"/>
          <w:szCs w:val="22"/>
        </w:rPr>
        <w:t>(CTFS)</w:t>
      </w:r>
      <w:r w:rsidR="00D5567A">
        <w:rPr>
          <w:rFonts w:ascii="Bookman Old Style" w:eastAsia="Times New Roman" w:hAnsi="Bookman Old Style" w:cs="Times New Roman"/>
          <w:sz w:val="22"/>
          <w:szCs w:val="22"/>
        </w:rPr>
        <w:t xml:space="preserve"> </w:t>
      </w:r>
      <w:r w:rsidRPr="000A4E63">
        <w:rPr>
          <w:rFonts w:ascii="Bookman Old Style" w:eastAsia="Times New Roman" w:hAnsi="Bookman Old Style" w:cs="Times New Roman"/>
          <w:sz w:val="22"/>
          <w:szCs w:val="22"/>
        </w:rPr>
        <w:t>per la definizione dei criteri di riparto delle risorse da assegnare agli enti locali in relazione alle funzioni correlate ai livelli essenziali delle prestazioni definiti dai ministeri competenti, nonché ai relativi fabbisogni, costi standard e obiettivi di servizio.</w:t>
      </w:r>
    </w:p>
    <w:p w:rsidR="00207FAA" w:rsidRPr="000A4E63" w:rsidRDefault="00207FAA" w:rsidP="00207FAA">
      <w:pPr>
        <w:widowControl w:val="0"/>
        <w:autoSpaceDE w:val="0"/>
        <w:autoSpaceDN w:val="0"/>
        <w:spacing w:before="10"/>
        <w:ind w:right="13"/>
        <w:rPr>
          <w:rFonts w:ascii="Bookman Old Style" w:eastAsia="Times New Roman" w:hAnsi="Bookman Old Style" w:cs="Times New Roman"/>
          <w:sz w:val="22"/>
          <w:szCs w:val="22"/>
        </w:rPr>
      </w:pPr>
    </w:p>
    <w:p w:rsidR="00207FAA" w:rsidRPr="00950095" w:rsidRDefault="00207FAA" w:rsidP="00207FAA">
      <w:pPr>
        <w:pStyle w:val="Paragrafoelenco"/>
        <w:numPr>
          <w:ilvl w:val="0"/>
          <w:numId w:val="16"/>
        </w:numPr>
        <w:spacing w:before="10"/>
        <w:ind w:right="13"/>
        <w:rPr>
          <w:rFonts w:ascii="Bookman Old Style" w:hAnsi="Bookman Old Style"/>
          <w:b/>
          <w:bCs/>
          <w:color w:val="FF0000"/>
        </w:rPr>
      </w:pPr>
      <w:r w:rsidRPr="00950095">
        <w:rPr>
          <w:rFonts w:ascii="Bookman Old Style" w:hAnsi="Bookman Old Style"/>
          <w:b/>
          <w:bCs/>
          <w:color w:val="FF0000"/>
        </w:rPr>
        <w:t>Fondo per lo sviluppo delle montagne italiane (</w:t>
      </w:r>
      <w:r w:rsidR="00292465" w:rsidRPr="00950095">
        <w:rPr>
          <w:rFonts w:ascii="Bookman Old Style" w:hAnsi="Bookman Old Style"/>
          <w:b/>
          <w:bCs/>
          <w:color w:val="FF0000"/>
        </w:rPr>
        <w:t>art. 1,</w:t>
      </w:r>
      <w:r w:rsidR="00EF7DBA" w:rsidRPr="00950095">
        <w:rPr>
          <w:rFonts w:ascii="Bookman Old Style" w:hAnsi="Bookman Old Style"/>
          <w:b/>
          <w:bCs/>
          <w:color w:val="FF0000"/>
        </w:rPr>
        <w:t xml:space="preserve"> </w:t>
      </w:r>
      <w:r w:rsidR="000C4A25" w:rsidRPr="00950095">
        <w:rPr>
          <w:rFonts w:ascii="Bookman Old Style" w:hAnsi="Bookman Old Style"/>
          <w:b/>
          <w:bCs/>
          <w:color w:val="FF0000"/>
        </w:rPr>
        <w:t>commi</w:t>
      </w:r>
      <w:r w:rsidR="00EF7DBA" w:rsidRPr="00950095">
        <w:rPr>
          <w:rFonts w:ascii="Bookman Old Style" w:hAnsi="Bookman Old Style"/>
          <w:b/>
          <w:bCs/>
          <w:color w:val="FF0000"/>
        </w:rPr>
        <w:t xml:space="preserve"> </w:t>
      </w:r>
      <w:r w:rsidR="000C4A25" w:rsidRPr="00950095">
        <w:rPr>
          <w:rFonts w:ascii="Bookman Old Style" w:hAnsi="Bookman Old Style"/>
          <w:b/>
          <w:bCs/>
          <w:color w:val="FF0000"/>
        </w:rPr>
        <w:t>593</w:t>
      </w:r>
      <w:r w:rsidR="00EF7DBA" w:rsidRPr="00950095">
        <w:rPr>
          <w:rFonts w:ascii="Bookman Old Style" w:hAnsi="Bookman Old Style"/>
          <w:b/>
          <w:bCs/>
          <w:color w:val="FF0000"/>
        </w:rPr>
        <w:t>-</w:t>
      </w:r>
      <w:r w:rsidR="000C4A25" w:rsidRPr="00950095">
        <w:rPr>
          <w:rFonts w:ascii="Bookman Old Style" w:hAnsi="Bookman Old Style"/>
          <w:b/>
          <w:bCs/>
          <w:color w:val="FF0000"/>
        </w:rPr>
        <w:t>596</w:t>
      </w:r>
      <w:r w:rsidRPr="00950095">
        <w:rPr>
          <w:rFonts w:ascii="Bookman Old Style" w:hAnsi="Bookman Old Style"/>
          <w:b/>
          <w:bCs/>
          <w:color w:val="FF0000"/>
        </w:rPr>
        <w:t>)</w:t>
      </w:r>
    </w:p>
    <w:p w:rsidR="00207FAA" w:rsidRPr="002932DE" w:rsidRDefault="00207FAA" w:rsidP="00207FAA">
      <w:pPr>
        <w:widowControl w:val="0"/>
        <w:autoSpaceDE w:val="0"/>
        <w:autoSpaceDN w:val="0"/>
        <w:spacing w:before="11" w:line="247" w:lineRule="auto"/>
        <w:ind w:right="21"/>
        <w:jc w:val="both"/>
        <w:rPr>
          <w:rFonts w:ascii="Bookman Old Style" w:eastAsia="Times New Roman" w:hAnsi="Bookman Old Style" w:cs="Times New Roman"/>
          <w:b/>
          <w:bCs/>
          <w:sz w:val="22"/>
          <w:szCs w:val="22"/>
        </w:rPr>
      </w:pPr>
      <w:r w:rsidRPr="00E9441B">
        <w:rPr>
          <w:rFonts w:ascii="Bookman Old Style" w:eastAsia="Times New Roman" w:hAnsi="Bookman Old Style" w:cs="Times New Roman"/>
          <w:sz w:val="22"/>
          <w:szCs w:val="22"/>
        </w:rPr>
        <w:t>La norma istituisce, nello stato di previsione del Ministero dell'economia e delle finanze, un fondo, da trasferire al bilancio autonomo della Presidenza del Consiglio dei Ministri</w:t>
      </w:r>
      <w:r w:rsidRPr="000A4E63">
        <w:rPr>
          <w:rFonts w:ascii="Bookman Old Style" w:eastAsia="Times New Roman" w:hAnsi="Bookman Old Style" w:cs="Times New Roman"/>
          <w:sz w:val="22"/>
          <w:szCs w:val="22"/>
        </w:rPr>
        <w:t xml:space="preserve"> - Dipartimento per gli affari regionali e le autonomie, denominato "Fondo per lo sviluppo delle montagne italiane", con la finalità di promuovere e realizzare interventi per la salvaguardia e la valorizzazione della montagna, nonché misure di sostegno in favore dei Comuni totalmente o parzialmente montani. </w:t>
      </w:r>
      <w:r w:rsidRPr="002932DE">
        <w:rPr>
          <w:rFonts w:ascii="Bookman Old Style" w:eastAsia="Times New Roman" w:hAnsi="Bookman Old Style" w:cs="Times New Roman"/>
          <w:b/>
          <w:bCs/>
          <w:sz w:val="22"/>
          <w:szCs w:val="22"/>
        </w:rPr>
        <w:t>Per il finanziamento del Fondo, è previsto uno stanziamento pari a 100 milioni di euro nel 2022</w:t>
      </w:r>
      <w:r w:rsidR="00D5567A">
        <w:rPr>
          <w:rFonts w:ascii="Bookman Old Style" w:eastAsia="Times New Roman" w:hAnsi="Bookman Old Style" w:cs="Times New Roman"/>
          <w:b/>
          <w:bCs/>
          <w:sz w:val="22"/>
          <w:szCs w:val="22"/>
        </w:rPr>
        <w:t xml:space="preserve"> e a </w:t>
      </w:r>
      <w:r w:rsidRPr="002932DE">
        <w:rPr>
          <w:rFonts w:ascii="Bookman Old Style" w:eastAsia="Times New Roman" w:hAnsi="Bookman Old Style" w:cs="Times New Roman"/>
          <w:b/>
          <w:bCs/>
          <w:sz w:val="22"/>
          <w:szCs w:val="22"/>
        </w:rPr>
        <w:t>200 milioni a decorrere dall'anno 2023. Inoltre, la disposizione individua puntualmente, gli interventi finanziabili.</w:t>
      </w:r>
    </w:p>
    <w:p w:rsidR="00207FAA" w:rsidRPr="002932DE" w:rsidRDefault="00207FAA" w:rsidP="00207FAA">
      <w:pPr>
        <w:widowControl w:val="0"/>
        <w:autoSpaceDE w:val="0"/>
        <w:autoSpaceDN w:val="0"/>
        <w:spacing w:before="11" w:line="247" w:lineRule="auto"/>
        <w:ind w:left="23" w:right="21" w:firstLine="4"/>
        <w:jc w:val="both"/>
        <w:rPr>
          <w:rFonts w:ascii="Bookman Old Style" w:eastAsia="Times New Roman" w:hAnsi="Bookman Old Style" w:cs="Times New Roman"/>
          <w:sz w:val="22"/>
          <w:szCs w:val="22"/>
        </w:rPr>
      </w:pPr>
    </w:p>
    <w:p w:rsidR="00207FAA" w:rsidRPr="00950095" w:rsidRDefault="00207FAA" w:rsidP="00207FAA">
      <w:pPr>
        <w:pStyle w:val="Paragrafoelenco"/>
        <w:numPr>
          <w:ilvl w:val="0"/>
          <w:numId w:val="16"/>
        </w:numPr>
        <w:spacing w:before="10"/>
        <w:ind w:right="19"/>
        <w:rPr>
          <w:rFonts w:ascii="Bookman Old Style" w:hAnsi="Bookman Old Style"/>
          <w:b/>
          <w:bCs/>
          <w:color w:val="FF0000"/>
        </w:rPr>
      </w:pPr>
      <w:r w:rsidRPr="00950095">
        <w:rPr>
          <w:rFonts w:ascii="Bookman Old Style" w:hAnsi="Bookman Old Style"/>
          <w:b/>
          <w:bCs/>
          <w:color w:val="FF0000"/>
        </w:rPr>
        <w:t>Rinegoziazione anticipazioni di liquidità Enti territoriali (</w:t>
      </w:r>
      <w:r w:rsidR="00710BF0" w:rsidRPr="00950095">
        <w:rPr>
          <w:rFonts w:ascii="Bookman Old Style" w:hAnsi="Bookman Old Style"/>
          <w:b/>
          <w:bCs/>
          <w:color w:val="FF0000"/>
        </w:rPr>
        <w:t xml:space="preserve">art. 1, </w:t>
      </w:r>
      <w:r w:rsidR="00E45D0A" w:rsidRPr="00950095">
        <w:rPr>
          <w:rFonts w:ascii="Bookman Old Style" w:hAnsi="Bookman Old Style"/>
          <w:b/>
          <w:bCs/>
          <w:color w:val="FF0000"/>
        </w:rPr>
        <w:t>commi 597</w:t>
      </w:r>
      <w:r w:rsidR="00710BF0" w:rsidRPr="00950095">
        <w:rPr>
          <w:rFonts w:ascii="Bookman Old Style" w:hAnsi="Bookman Old Style"/>
          <w:b/>
          <w:bCs/>
          <w:color w:val="FF0000"/>
        </w:rPr>
        <w:t>-</w:t>
      </w:r>
      <w:r w:rsidR="00E45D0A" w:rsidRPr="00950095">
        <w:rPr>
          <w:rFonts w:ascii="Bookman Old Style" w:hAnsi="Bookman Old Style"/>
          <w:b/>
          <w:bCs/>
          <w:color w:val="FF0000"/>
        </w:rPr>
        <w:t xml:space="preserve"> 603</w:t>
      </w:r>
      <w:r w:rsidRPr="00950095">
        <w:rPr>
          <w:rFonts w:ascii="Bookman Old Style" w:hAnsi="Bookman Old Style"/>
          <w:b/>
          <w:bCs/>
          <w:color w:val="FF0000"/>
        </w:rPr>
        <w:t>)</w:t>
      </w:r>
    </w:p>
    <w:p w:rsidR="00207FAA" w:rsidRPr="00E3456B" w:rsidRDefault="00207FAA" w:rsidP="00207FAA">
      <w:pPr>
        <w:widowControl w:val="0"/>
        <w:autoSpaceDE w:val="0"/>
        <w:autoSpaceDN w:val="0"/>
        <w:spacing w:line="245" w:lineRule="exact"/>
        <w:jc w:val="both"/>
        <w:rPr>
          <w:rFonts w:ascii="Bookman Old Style" w:eastAsia="Times New Roman" w:hAnsi="Bookman Old Style" w:cs="Times New Roman"/>
          <w:sz w:val="22"/>
          <w:szCs w:val="22"/>
        </w:rPr>
      </w:pPr>
      <w:r w:rsidRPr="00E3456B">
        <w:rPr>
          <w:rFonts w:ascii="Bookman Old Style" w:eastAsia="Times New Roman" w:hAnsi="Bookman Old Style" w:cs="Times New Roman"/>
          <w:sz w:val="22"/>
          <w:szCs w:val="22"/>
        </w:rPr>
        <w:t xml:space="preserve">La norma consente alle Regioni e agli Enti locali di </w:t>
      </w:r>
      <w:r w:rsidRPr="00E3456B">
        <w:rPr>
          <w:rFonts w:ascii="Bookman Old Style" w:eastAsia="Times New Roman" w:hAnsi="Bookman Old Style" w:cs="Times New Roman"/>
          <w:b/>
          <w:bCs/>
          <w:sz w:val="22"/>
          <w:szCs w:val="22"/>
        </w:rPr>
        <w:t>rinegoziare le anticipazioni di liquidità</w:t>
      </w:r>
      <w:r w:rsidRPr="00E3456B">
        <w:rPr>
          <w:rFonts w:ascii="Bookman Old Style" w:eastAsia="Times New Roman" w:hAnsi="Bookman Old Style" w:cs="Times New Roman"/>
          <w:sz w:val="22"/>
          <w:szCs w:val="22"/>
        </w:rPr>
        <w:t xml:space="preserve"> concesse nel corso degli anni dal MEF per il pagamento dei debiti </w:t>
      </w:r>
      <w:r w:rsidR="00E41963" w:rsidRPr="00E3456B">
        <w:rPr>
          <w:rFonts w:ascii="Bookman Old Style" w:eastAsia="Times New Roman" w:hAnsi="Bookman Old Style" w:cs="Times New Roman"/>
          <w:sz w:val="22"/>
          <w:szCs w:val="22"/>
        </w:rPr>
        <w:t>commerciali</w:t>
      </w:r>
      <w:r w:rsidRPr="00E3456B">
        <w:rPr>
          <w:rFonts w:ascii="Bookman Old Style" w:eastAsia="Times New Roman" w:hAnsi="Bookman Old Style" w:cs="Times New Roman"/>
          <w:sz w:val="22"/>
          <w:szCs w:val="22"/>
        </w:rPr>
        <w:t xml:space="preserve">, </w:t>
      </w:r>
      <w:r w:rsidRPr="00E3456B">
        <w:rPr>
          <w:rFonts w:ascii="Bookman Old Style" w:eastAsia="Times New Roman" w:hAnsi="Bookman Old Style" w:cs="Times New Roman"/>
          <w:b/>
          <w:bCs/>
          <w:sz w:val="22"/>
          <w:szCs w:val="22"/>
        </w:rPr>
        <w:t>che abbiano un tasso di interesse pari o superiore al 3%, che viene significativamente ridotto.</w:t>
      </w:r>
      <w:r w:rsidRPr="00E3456B">
        <w:rPr>
          <w:rFonts w:ascii="Bookman Old Style" w:eastAsia="Times New Roman" w:hAnsi="Bookman Old Style" w:cs="Times New Roman"/>
          <w:sz w:val="22"/>
          <w:szCs w:val="22"/>
        </w:rPr>
        <w:t xml:space="preserve"> </w:t>
      </w:r>
    </w:p>
    <w:p w:rsidR="00207FAA" w:rsidRPr="00E3456B" w:rsidRDefault="00207FAA" w:rsidP="00207FAA">
      <w:pPr>
        <w:widowControl w:val="0"/>
        <w:autoSpaceDE w:val="0"/>
        <w:autoSpaceDN w:val="0"/>
        <w:spacing w:before="13" w:line="244" w:lineRule="auto"/>
        <w:ind w:left="23" w:right="62" w:firstLine="1"/>
        <w:jc w:val="both"/>
        <w:rPr>
          <w:rFonts w:ascii="Bookman Old Style" w:eastAsia="Times New Roman" w:hAnsi="Bookman Old Style" w:cs="Times New Roman"/>
          <w:sz w:val="22"/>
          <w:szCs w:val="22"/>
        </w:rPr>
      </w:pPr>
      <w:r w:rsidRPr="00E3456B">
        <w:rPr>
          <w:rFonts w:ascii="Bookman Old Style" w:eastAsia="Times New Roman" w:hAnsi="Bookman Old Style" w:cs="Times New Roman"/>
          <w:sz w:val="22"/>
          <w:szCs w:val="22"/>
        </w:rPr>
        <w:t>L'intervento normativo prevede che i piani di ammortamento delle anticipazioni di liquidità siano rinegoziati secondo i seguenti termini: il debito residuo al 31 dicembre 2021 viene rimborsato in trenta anni mediante rate annuali costanti - ad eccezione della rata in scadenza nel 2022 - comprensive di capitale ed interessi, ferme restando le date di pagamento contemplate nei contratti di anticipazione originari.</w:t>
      </w:r>
    </w:p>
    <w:p w:rsidR="00207FAA" w:rsidRPr="00E3456B" w:rsidRDefault="00207FAA" w:rsidP="00207FAA">
      <w:pPr>
        <w:widowControl w:val="0"/>
        <w:autoSpaceDE w:val="0"/>
        <w:autoSpaceDN w:val="0"/>
        <w:spacing w:line="249" w:lineRule="auto"/>
        <w:ind w:left="20" w:right="49" w:firstLine="2"/>
        <w:jc w:val="both"/>
        <w:rPr>
          <w:rFonts w:ascii="Bookman Old Style" w:eastAsia="Times New Roman" w:hAnsi="Bookman Old Style" w:cs="Times New Roman"/>
          <w:sz w:val="22"/>
          <w:szCs w:val="22"/>
        </w:rPr>
      </w:pPr>
      <w:r w:rsidRPr="00E3456B">
        <w:rPr>
          <w:rFonts w:ascii="Bookman Old Style" w:eastAsia="Times New Roman" w:hAnsi="Bookman Old Style" w:cs="Times New Roman"/>
          <w:b/>
          <w:bCs/>
          <w:sz w:val="22"/>
          <w:szCs w:val="22"/>
        </w:rPr>
        <w:t>Il tasso di interesse applicato alla rinegoziazione è pari al rendimento di mercato dei BTP</w:t>
      </w:r>
      <w:r w:rsidRPr="00E3456B">
        <w:rPr>
          <w:rFonts w:ascii="Bookman Old Style" w:eastAsia="Times New Roman" w:hAnsi="Bookman Old Style" w:cs="Times New Roman"/>
          <w:sz w:val="22"/>
          <w:szCs w:val="22"/>
        </w:rPr>
        <w:t xml:space="preserve"> con la durata finanziaria più vicina a quella dell'anticipazione di liquidità, come rilevato sulla piattaforma di negoziazione MTS sulla base della quotazione del quinto giorno lavorativo successivo alla pubblicazione della norma in Gazzetta Ufficiale. Tale tasso viene determinato dalla Direzione II del Dipartimento del Tesoro e pubblicato sul sito internet del MEF.</w:t>
      </w:r>
    </w:p>
    <w:p w:rsidR="00207FAA" w:rsidRPr="00E3456B" w:rsidRDefault="00E41963" w:rsidP="00207FAA">
      <w:pPr>
        <w:widowControl w:val="0"/>
        <w:autoSpaceDE w:val="0"/>
        <w:autoSpaceDN w:val="0"/>
        <w:spacing w:line="249" w:lineRule="auto"/>
        <w:ind w:left="27" w:right="41" w:hanging="5"/>
        <w:jc w:val="both"/>
        <w:rPr>
          <w:rFonts w:ascii="Bookman Old Style" w:eastAsia="Times New Roman" w:hAnsi="Bookman Old Style" w:cs="Times New Roman"/>
          <w:sz w:val="22"/>
          <w:szCs w:val="22"/>
        </w:rPr>
      </w:pPr>
      <w:r w:rsidRPr="00E3456B">
        <w:rPr>
          <w:rFonts w:ascii="Bookman Old Style" w:eastAsia="Times New Roman" w:hAnsi="Bookman Old Style" w:cs="Times New Roman"/>
          <w:sz w:val="22"/>
          <w:szCs w:val="22"/>
        </w:rPr>
        <w:t xml:space="preserve">Il </w:t>
      </w:r>
      <w:r w:rsidR="00207FAA" w:rsidRPr="00E3456B">
        <w:rPr>
          <w:rFonts w:ascii="Bookman Old Style" w:eastAsia="Times New Roman" w:hAnsi="Bookman Old Style" w:cs="Times New Roman"/>
          <w:sz w:val="22"/>
          <w:szCs w:val="22"/>
        </w:rPr>
        <w:t xml:space="preserve">MEF e Cassa Depositi e Prestiti </w:t>
      </w:r>
      <w:r w:rsidRPr="00E3456B">
        <w:rPr>
          <w:rFonts w:ascii="Bookman Old Style" w:eastAsia="Times New Roman" w:hAnsi="Bookman Old Style" w:cs="Times New Roman"/>
          <w:sz w:val="22"/>
          <w:szCs w:val="22"/>
        </w:rPr>
        <w:t>stipulano</w:t>
      </w:r>
      <w:r w:rsidR="00207FAA" w:rsidRPr="00E3456B">
        <w:rPr>
          <w:rFonts w:ascii="Bookman Old Style" w:eastAsia="Times New Roman" w:hAnsi="Bookman Old Style" w:cs="Times New Roman"/>
          <w:sz w:val="22"/>
          <w:szCs w:val="22"/>
        </w:rPr>
        <w:t>, entro trenta giorni dall'entrata in vigore della norma, un atto aggiuntivo all'addendum di cui all'articolo I, comma 11, del decreto-legge n. 35 del 2013 finalizzato a disciplinare la gestione delle operazioni di rinegoziazione delle anticipazioni di liquidità concesse agli Enti locali. In particolare, nell'atto aggiuntivo sono fissati i criteri e le modalità per il perfezionamento delle operazioni di rinegoziazione, da effettuarsi secondo un contratto tipo, approvato con decreto del Direttore generale del Tesoro. Sia l'atto aggiuntivo che il contratto tipo sono pubblicati nel sito internet del MEF e di Cassa Depositi e Prestiti.</w:t>
      </w:r>
    </w:p>
    <w:p w:rsidR="00207FAA" w:rsidRPr="00E3456B" w:rsidRDefault="00207FAA" w:rsidP="00207FAA">
      <w:pPr>
        <w:widowControl w:val="0"/>
        <w:autoSpaceDE w:val="0"/>
        <w:autoSpaceDN w:val="0"/>
        <w:spacing w:before="2" w:line="244" w:lineRule="exact"/>
        <w:ind w:left="36" w:hanging="14"/>
        <w:jc w:val="both"/>
        <w:rPr>
          <w:rFonts w:ascii="Bookman Old Style" w:eastAsia="Times New Roman" w:hAnsi="Bookman Old Style" w:cs="Times New Roman"/>
          <w:sz w:val="22"/>
          <w:szCs w:val="22"/>
        </w:rPr>
      </w:pPr>
      <w:r w:rsidRPr="00E3456B">
        <w:rPr>
          <w:rFonts w:ascii="Bookman Old Style" w:eastAsia="Times New Roman" w:hAnsi="Bookman Old Style" w:cs="Times New Roman"/>
          <w:sz w:val="22"/>
          <w:szCs w:val="22"/>
        </w:rPr>
        <w:t xml:space="preserve">Gli Enti locali </w:t>
      </w:r>
      <w:r w:rsidRPr="00E3456B">
        <w:rPr>
          <w:rFonts w:ascii="Bookman Old Style" w:eastAsia="Times New Roman" w:hAnsi="Bookman Old Style" w:cs="Times New Roman"/>
          <w:b/>
          <w:bCs/>
          <w:sz w:val="22"/>
          <w:szCs w:val="22"/>
        </w:rPr>
        <w:t>trasmett</w:t>
      </w:r>
      <w:r w:rsidR="007A0C34">
        <w:rPr>
          <w:rFonts w:ascii="Bookman Old Style" w:eastAsia="Times New Roman" w:hAnsi="Bookman Old Style" w:cs="Times New Roman"/>
          <w:b/>
          <w:bCs/>
          <w:sz w:val="22"/>
          <w:szCs w:val="22"/>
        </w:rPr>
        <w:t xml:space="preserve">ono </w:t>
      </w:r>
      <w:r w:rsidRPr="00E3456B">
        <w:rPr>
          <w:rFonts w:ascii="Bookman Old Style" w:eastAsia="Times New Roman" w:hAnsi="Bookman Old Style" w:cs="Times New Roman"/>
          <w:b/>
          <w:bCs/>
          <w:sz w:val="22"/>
          <w:szCs w:val="22"/>
        </w:rPr>
        <w:t>le richieste di rinegoziazione</w:t>
      </w:r>
      <w:r w:rsidRPr="00E3456B">
        <w:rPr>
          <w:rFonts w:ascii="Bookman Old Style" w:eastAsia="Times New Roman" w:hAnsi="Bookman Old Style" w:cs="Times New Roman"/>
          <w:sz w:val="22"/>
          <w:szCs w:val="22"/>
        </w:rPr>
        <w:t xml:space="preserve"> delle anticipazioni</w:t>
      </w:r>
      <w:r w:rsidR="00E41963" w:rsidRPr="00E3456B">
        <w:rPr>
          <w:rFonts w:ascii="Bookman Old Style" w:eastAsia="Times New Roman" w:hAnsi="Bookman Old Style" w:cs="Times New Roman"/>
          <w:sz w:val="22"/>
          <w:szCs w:val="22"/>
        </w:rPr>
        <w:t xml:space="preserve"> </w:t>
      </w:r>
      <w:r w:rsidRPr="00E3456B">
        <w:rPr>
          <w:rFonts w:ascii="Bookman Old Style" w:eastAsia="Times New Roman" w:hAnsi="Bookman Old Style" w:cs="Times New Roman"/>
          <w:sz w:val="22"/>
          <w:szCs w:val="22"/>
        </w:rPr>
        <w:t xml:space="preserve">di liquidità a Cassa Depositi e Prestiti nel periodo che va </w:t>
      </w:r>
      <w:r w:rsidRPr="00E3456B">
        <w:rPr>
          <w:rFonts w:ascii="Bookman Old Style" w:eastAsia="Times New Roman" w:hAnsi="Bookman Old Style" w:cs="Times New Roman"/>
          <w:b/>
          <w:bCs/>
          <w:sz w:val="22"/>
          <w:szCs w:val="22"/>
        </w:rPr>
        <w:t>dal 14 febbraio 2022 al 18 marzo 2022</w:t>
      </w:r>
      <w:r w:rsidRPr="00E3456B">
        <w:rPr>
          <w:rFonts w:ascii="Bookman Old Style" w:eastAsia="Times New Roman" w:hAnsi="Bookman Old Style" w:cs="Times New Roman"/>
          <w:sz w:val="22"/>
          <w:szCs w:val="22"/>
        </w:rPr>
        <w:t xml:space="preserve">, secondo le modalità stabilite nell'atto aggiuntivo, previa deliberazione autorizzativa della Giunta, anche nel corso dell'esercizio provvisorio di cui all'articolo 163 del decreto legislativo n. 267 del 2000. Si stabilisce, inoltre, che </w:t>
      </w:r>
      <w:r w:rsidRPr="00E3456B">
        <w:rPr>
          <w:rFonts w:ascii="Bookman Old Style" w:eastAsia="Times New Roman" w:hAnsi="Bookman Old Style" w:cs="Times New Roman"/>
          <w:b/>
          <w:bCs/>
          <w:sz w:val="22"/>
          <w:szCs w:val="22"/>
        </w:rPr>
        <w:t>i contratti relativi alle operazioni di rinegoziazione siano sottoscritti entro il 28 aprile 2022</w:t>
      </w:r>
      <w:r w:rsidRPr="00E3456B">
        <w:rPr>
          <w:rFonts w:ascii="Bookman Old Style" w:eastAsia="Times New Roman" w:hAnsi="Bookman Old Style" w:cs="Times New Roman"/>
          <w:sz w:val="22"/>
          <w:szCs w:val="22"/>
        </w:rPr>
        <w:t xml:space="preserve">. </w:t>
      </w:r>
    </w:p>
    <w:p w:rsidR="00207FAA" w:rsidRPr="00E3456B" w:rsidRDefault="00207FAA" w:rsidP="00207FAA">
      <w:pPr>
        <w:widowControl w:val="0"/>
        <w:autoSpaceDE w:val="0"/>
        <w:autoSpaceDN w:val="0"/>
        <w:spacing w:before="4" w:line="247" w:lineRule="auto"/>
        <w:ind w:left="31" w:right="24" w:hanging="6"/>
        <w:jc w:val="both"/>
        <w:rPr>
          <w:rFonts w:ascii="Bookman Old Style" w:eastAsia="Times New Roman" w:hAnsi="Bookman Old Style" w:cs="Times New Roman"/>
          <w:sz w:val="22"/>
          <w:szCs w:val="22"/>
        </w:rPr>
      </w:pPr>
      <w:r w:rsidRPr="00E3456B">
        <w:rPr>
          <w:rFonts w:ascii="Bookman Old Style" w:eastAsia="Times New Roman" w:hAnsi="Bookman Old Style" w:cs="Times New Roman"/>
          <w:sz w:val="22"/>
          <w:szCs w:val="22"/>
        </w:rPr>
        <w:t>Per le attività affidate a Cassa Depositi e Prestiti in forza dell'atto aggiuntivo, il comma 4 autorizza, per il 2022, la spesa complessiva di 300.000 euro.</w:t>
      </w:r>
    </w:p>
    <w:p w:rsidR="00207FAA" w:rsidRPr="000A4E63" w:rsidRDefault="00207FAA" w:rsidP="00207FAA">
      <w:pPr>
        <w:widowControl w:val="0"/>
        <w:autoSpaceDE w:val="0"/>
        <w:autoSpaceDN w:val="0"/>
        <w:spacing w:line="237" w:lineRule="auto"/>
        <w:ind w:left="21" w:right="19" w:firstLine="2"/>
        <w:jc w:val="both"/>
        <w:rPr>
          <w:rFonts w:ascii="Bookman Old Style" w:eastAsia="Times New Roman" w:hAnsi="Bookman Old Style" w:cs="Times New Roman"/>
          <w:sz w:val="22"/>
          <w:szCs w:val="22"/>
        </w:rPr>
      </w:pPr>
      <w:r w:rsidRPr="00E3456B">
        <w:rPr>
          <w:rFonts w:ascii="Bookman Old Style" w:eastAsia="Times New Roman" w:hAnsi="Bookman Old Style" w:cs="Times New Roman"/>
          <w:sz w:val="22"/>
          <w:szCs w:val="22"/>
        </w:rPr>
        <w:t>Infine</w:t>
      </w:r>
      <w:r w:rsidR="00E41963" w:rsidRPr="00E3456B">
        <w:rPr>
          <w:rFonts w:ascii="Bookman Old Style" w:eastAsia="Times New Roman" w:hAnsi="Bookman Old Style" w:cs="Times New Roman"/>
          <w:sz w:val="22"/>
          <w:szCs w:val="22"/>
        </w:rPr>
        <w:t>,</w:t>
      </w:r>
      <w:r w:rsidRPr="00E3456B">
        <w:rPr>
          <w:rFonts w:ascii="Bookman Old Style" w:eastAsia="Times New Roman" w:hAnsi="Bookman Old Style" w:cs="Times New Roman"/>
          <w:sz w:val="22"/>
          <w:szCs w:val="22"/>
        </w:rPr>
        <w:t xml:space="preserve"> si precisa che gli atti modificativi, mediante i quali sono perfezionate le operazioni di rinegoziazione con le Regioni e gli Enti locali, non costituiscono novazione dei contratti originari di concessione delle anticipazioni di liquidità. Pertanto, tutti i termini e le condizioni previsti nei contratti originari, non espressamente modificati dagli atti modificativi, restano in vigore.</w:t>
      </w:r>
    </w:p>
    <w:p w:rsidR="00207FAA" w:rsidRPr="000A4E63" w:rsidRDefault="00207FAA" w:rsidP="00207FAA">
      <w:pPr>
        <w:widowControl w:val="0"/>
        <w:autoSpaceDE w:val="0"/>
        <w:autoSpaceDN w:val="0"/>
        <w:spacing w:before="2" w:line="235" w:lineRule="auto"/>
        <w:ind w:left="27" w:right="17" w:hanging="4"/>
        <w:jc w:val="both"/>
        <w:rPr>
          <w:rFonts w:ascii="Bookman Old Style" w:eastAsia="Times New Roman" w:hAnsi="Bookman Old Style" w:cs="Times New Roman"/>
          <w:sz w:val="22"/>
          <w:szCs w:val="22"/>
        </w:rPr>
      </w:pPr>
    </w:p>
    <w:p w:rsidR="00207FAA" w:rsidRPr="00950095" w:rsidRDefault="00207FAA" w:rsidP="00207FAA">
      <w:pPr>
        <w:pStyle w:val="Paragrafoelenco"/>
        <w:numPr>
          <w:ilvl w:val="0"/>
          <w:numId w:val="16"/>
        </w:numPr>
        <w:spacing w:before="10"/>
        <w:ind w:right="19"/>
        <w:rPr>
          <w:rFonts w:ascii="Bookman Old Style" w:hAnsi="Bookman Old Style"/>
          <w:b/>
          <w:bCs/>
          <w:color w:val="FF0000"/>
        </w:rPr>
      </w:pPr>
      <w:r w:rsidRPr="00950095">
        <w:rPr>
          <w:rFonts w:ascii="Bookman Old Style" w:hAnsi="Bookman Old Style"/>
          <w:b/>
          <w:bCs/>
          <w:color w:val="FF0000"/>
        </w:rPr>
        <w:t>Disposizioni in materia di trattamento accessorio (</w:t>
      </w:r>
      <w:r w:rsidR="00E77627" w:rsidRPr="00950095">
        <w:rPr>
          <w:rFonts w:ascii="Bookman Old Style" w:hAnsi="Bookman Old Style"/>
          <w:b/>
          <w:bCs/>
          <w:color w:val="FF0000"/>
        </w:rPr>
        <w:t xml:space="preserve">art. 1, </w:t>
      </w:r>
      <w:r w:rsidR="00E45D0A" w:rsidRPr="00950095">
        <w:rPr>
          <w:rFonts w:ascii="Bookman Old Style" w:hAnsi="Bookman Old Style"/>
          <w:b/>
          <w:bCs/>
          <w:color w:val="FF0000"/>
        </w:rPr>
        <w:t>commi 604</w:t>
      </w:r>
      <w:r w:rsidR="00E77627" w:rsidRPr="00950095">
        <w:rPr>
          <w:rFonts w:ascii="Bookman Old Style" w:hAnsi="Bookman Old Style"/>
          <w:b/>
          <w:bCs/>
          <w:color w:val="FF0000"/>
        </w:rPr>
        <w:t>-</w:t>
      </w:r>
      <w:r w:rsidR="00E45D0A" w:rsidRPr="00950095">
        <w:rPr>
          <w:rFonts w:ascii="Bookman Old Style" w:hAnsi="Bookman Old Style"/>
          <w:b/>
          <w:bCs/>
          <w:color w:val="FF0000"/>
        </w:rPr>
        <w:t>606</w:t>
      </w:r>
      <w:r w:rsidRPr="00950095">
        <w:rPr>
          <w:rFonts w:ascii="Bookman Old Style" w:hAnsi="Bookman Old Style"/>
          <w:b/>
          <w:bCs/>
          <w:color w:val="FF0000"/>
        </w:rPr>
        <w:t>)</w:t>
      </w:r>
    </w:p>
    <w:p w:rsidR="00207FAA" w:rsidRPr="000A4E63" w:rsidRDefault="00207FAA" w:rsidP="00207FAA">
      <w:pPr>
        <w:jc w:val="both"/>
        <w:rPr>
          <w:rFonts w:ascii="Bookman Old Style" w:eastAsia="Times New Roman" w:hAnsi="Bookman Old Style"/>
          <w:sz w:val="22"/>
          <w:szCs w:val="22"/>
        </w:rPr>
      </w:pPr>
      <w:r w:rsidRPr="000A4E63">
        <w:rPr>
          <w:rFonts w:ascii="Bookman Old Style" w:eastAsia="Times New Roman" w:hAnsi="Bookman Old Style"/>
          <w:sz w:val="22"/>
          <w:szCs w:val="22"/>
        </w:rPr>
        <w:t>Comuni, Regioni e province possono aumentare, a valere sui propri bilanci, con la medesima percentuale e i medesimi criteri previsti per il personale delle amministrazioni dello Stato le risorse destinate al trattamento accessorio del personale.</w:t>
      </w:r>
    </w:p>
    <w:p w:rsidR="00D54580" w:rsidRPr="00950095" w:rsidRDefault="00D54580" w:rsidP="00D54580">
      <w:pPr>
        <w:pStyle w:val="Paragrafoelenco"/>
        <w:numPr>
          <w:ilvl w:val="0"/>
          <w:numId w:val="16"/>
        </w:numPr>
        <w:spacing w:before="10"/>
        <w:ind w:right="19"/>
        <w:rPr>
          <w:rFonts w:ascii="Bookman Old Style" w:hAnsi="Bookman Old Style"/>
          <w:b/>
          <w:bCs/>
          <w:color w:val="FF0000"/>
        </w:rPr>
      </w:pPr>
      <w:r w:rsidRPr="00950095">
        <w:rPr>
          <w:rFonts w:ascii="Bookman Old Style" w:hAnsi="Bookman Old Style"/>
          <w:b/>
          <w:bCs/>
          <w:color w:val="FF0000"/>
        </w:rPr>
        <w:t>Misure in materia di applicazione dei rinnovi contrattuali (art. 1, commi 6</w:t>
      </w:r>
      <w:r w:rsidR="00EB70AD" w:rsidRPr="00950095">
        <w:rPr>
          <w:rFonts w:ascii="Bookman Old Style" w:hAnsi="Bookman Old Style"/>
          <w:b/>
          <w:bCs/>
          <w:color w:val="FF0000"/>
        </w:rPr>
        <w:t>10</w:t>
      </w:r>
      <w:r w:rsidRPr="00950095">
        <w:rPr>
          <w:rFonts w:ascii="Bookman Old Style" w:hAnsi="Bookman Old Style"/>
          <w:b/>
          <w:bCs/>
          <w:color w:val="FF0000"/>
        </w:rPr>
        <w:t>- 611)</w:t>
      </w:r>
    </w:p>
    <w:p w:rsidR="00D54580" w:rsidRPr="000A4E63" w:rsidRDefault="00D54580" w:rsidP="00D54580">
      <w:pPr>
        <w:jc w:val="both"/>
        <w:rPr>
          <w:rFonts w:ascii="Bookman Old Style" w:hAnsi="Bookman Old Style" w:cs="TimesNewRomanPS-BoldItalicMT"/>
          <w:b/>
          <w:bCs/>
          <w:i/>
          <w:iCs/>
          <w:sz w:val="22"/>
          <w:szCs w:val="22"/>
        </w:rPr>
      </w:pPr>
      <w:r w:rsidRPr="000A4E63">
        <w:rPr>
          <w:rFonts w:ascii="Bookman Old Style" w:hAnsi="Bookman Old Style"/>
          <w:sz w:val="22"/>
          <w:szCs w:val="22"/>
        </w:rPr>
        <w:t>Viene ribadito che, per il personale dei Comuni, gli oneri per i rinnovi contrattuali per il triennio 2022-2024 sono posti a carico dei bilanci delle amministrazioni stesse</w:t>
      </w:r>
      <w:r w:rsidR="00EB70AD">
        <w:rPr>
          <w:rFonts w:ascii="Bookman Old Style" w:hAnsi="Bookman Old Style"/>
          <w:sz w:val="22"/>
          <w:szCs w:val="22"/>
        </w:rPr>
        <w:t xml:space="preserve"> come previsto dall’articolo 48, comma 2, del decreto legislativo n. 165/2001.</w:t>
      </w:r>
      <w:r>
        <w:rPr>
          <w:rFonts w:ascii="Bookman Old Style" w:hAnsi="Bookman Old Style"/>
          <w:sz w:val="22"/>
          <w:szCs w:val="22"/>
        </w:rPr>
        <w:t>.</w:t>
      </w:r>
    </w:p>
    <w:p w:rsidR="00B80FC4" w:rsidRDefault="00B80FC4" w:rsidP="00B80FC4">
      <w:pPr>
        <w:pStyle w:val="Corpotesto"/>
        <w:spacing w:line="232" w:lineRule="auto"/>
        <w:ind w:left="720" w:right="161"/>
        <w:rPr>
          <w:rFonts w:ascii="Bookman Old Style" w:eastAsiaTheme="minorHAnsi" w:hAnsi="Bookman Old Style" w:cstheme="minorBidi"/>
          <w:b/>
          <w:bCs/>
          <w:color w:val="002060"/>
          <w:sz w:val="22"/>
          <w:szCs w:val="22"/>
        </w:rPr>
      </w:pPr>
    </w:p>
    <w:p w:rsidR="00145E57" w:rsidRPr="000A4E63" w:rsidRDefault="00145E57" w:rsidP="00145E57">
      <w:pPr>
        <w:spacing w:line="252" w:lineRule="auto"/>
        <w:contextualSpacing/>
        <w:rPr>
          <w:rFonts w:ascii="Bookman Old Style" w:hAnsi="Bookman Old Style"/>
          <w:b/>
          <w:bCs/>
          <w:color w:val="002060"/>
          <w:sz w:val="22"/>
          <w:szCs w:val="22"/>
        </w:rPr>
      </w:pPr>
    </w:p>
    <w:p w:rsidR="00145E57" w:rsidRPr="00950095" w:rsidRDefault="00145E57" w:rsidP="00145E57">
      <w:pPr>
        <w:pStyle w:val="Paragrafoelenco"/>
        <w:numPr>
          <w:ilvl w:val="0"/>
          <w:numId w:val="18"/>
        </w:numPr>
        <w:spacing w:line="240" w:lineRule="auto"/>
        <w:contextualSpacing/>
        <w:jc w:val="both"/>
        <w:rPr>
          <w:rFonts w:ascii="Bookman Old Style" w:hAnsi="Bookman Old Style"/>
          <w:b/>
          <w:bCs/>
          <w:color w:val="FF0000"/>
        </w:rPr>
      </w:pPr>
      <w:r w:rsidRPr="00950095">
        <w:rPr>
          <w:rFonts w:ascii="Bookman Old Style" w:hAnsi="Bookman Old Style"/>
          <w:b/>
          <w:bCs/>
          <w:color w:val="FF0000"/>
        </w:rPr>
        <w:t xml:space="preserve">Proroga </w:t>
      </w:r>
      <w:r w:rsidR="00EB70AD" w:rsidRPr="00950095">
        <w:rPr>
          <w:rFonts w:ascii="Bookman Old Style" w:hAnsi="Bookman Old Style"/>
          <w:b/>
          <w:bCs/>
          <w:color w:val="FF0000"/>
        </w:rPr>
        <w:t xml:space="preserve">esenzione canone unico patrimoniale per occupazioni di suolo pubblico degli esercizi </w:t>
      </w:r>
      <w:r w:rsidRPr="00950095">
        <w:rPr>
          <w:rFonts w:ascii="Bookman Old Style" w:hAnsi="Bookman Old Style"/>
          <w:b/>
          <w:bCs/>
          <w:color w:val="FF0000"/>
        </w:rPr>
        <w:t xml:space="preserve"> commerciali (commi 706-707)</w:t>
      </w:r>
    </w:p>
    <w:p w:rsidR="00145E57" w:rsidRPr="00FC7994" w:rsidRDefault="00145E57" w:rsidP="00145E57">
      <w:pPr>
        <w:pStyle w:val="int"/>
        <w:shd w:val="clear" w:color="auto" w:fill="FFFFFF"/>
        <w:spacing w:before="0" w:beforeAutospacing="0" w:after="0" w:afterAutospacing="0"/>
        <w:jc w:val="both"/>
        <w:rPr>
          <w:rFonts w:ascii="Bookman Old Style" w:hAnsi="Bookman Old Style"/>
          <w:b/>
          <w:bCs/>
          <w:i/>
          <w:iCs/>
          <w:color w:val="000000"/>
          <w:sz w:val="22"/>
          <w:szCs w:val="22"/>
          <w:u w:val="single"/>
        </w:rPr>
      </w:pPr>
      <w:r>
        <w:rPr>
          <w:rFonts w:ascii="Bookman Old Style" w:hAnsi="Bookman Old Style"/>
          <w:color w:val="000000"/>
          <w:sz w:val="22"/>
          <w:szCs w:val="22"/>
        </w:rPr>
        <w:t>La norma</w:t>
      </w:r>
      <w:r w:rsidRPr="000A4E63">
        <w:rPr>
          <w:rFonts w:ascii="Bookman Old Style" w:hAnsi="Bookman Old Style"/>
          <w:color w:val="000000"/>
          <w:sz w:val="22"/>
          <w:szCs w:val="22"/>
        </w:rPr>
        <w:t xml:space="preserve"> proroga le disposizioni di esonero di cui all’articolo 9 ter, commi da 2 a 5, del decreto legge 28 ottobre 2020, n. 137, </w:t>
      </w:r>
      <w:r w:rsidRPr="00FC7994">
        <w:rPr>
          <w:rFonts w:ascii="Bookman Old Style" w:hAnsi="Bookman Old Style"/>
          <w:b/>
          <w:bCs/>
          <w:i/>
          <w:iCs/>
          <w:color w:val="000000"/>
          <w:sz w:val="22"/>
          <w:szCs w:val="22"/>
          <w:u w:val="single"/>
        </w:rPr>
        <w:t>fino al 31 marzo 2022.</w:t>
      </w:r>
    </w:p>
    <w:p w:rsidR="00145E57" w:rsidRPr="000A4E63" w:rsidRDefault="00145E57" w:rsidP="00145E57">
      <w:pPr>
        <w:pStyle w:val="int"/>
        <w:shd w:val="clear" w:color="auto" w:fill="FFFFFF"/>
        <w:spacing w:before="0" w:beforeAutospacing="0" w:after="0" w:afterAutospacing="0"/>
        <w:jc w:val="both"/>
        <w:rPr>
          <w:rFonts w:ascii="Bookman Old Style" w:hAnsi="Bookman Old Style"/>
          <w:color w:val="000000"/>
          <w:sz w:val="22"/>
          <w:szCs w:val="22"/>
        </w:rPr>
      </w:pPr>
      <w:r w:rsidRPr="000A4E63">
        <w:rPr>
          <w:rFonts w:ascii="Bookman Old Style" w:hAnsi="Bookman Old Style"/>
          <w:color w:val="000000"/>
          <w:sz w:val="22"/>
          <w:szCs w:val="22"/>
        </w:rPr>
        <w:t xml:space="preserve">Pertanto, sono prorogate fino al 31 marzo 2022, le seguenti misure: </w:t>
      </w:r>
    </w:p>
    <w:p w:rsidR="00145E57" w:rsidRPr="000A4E63" w:rsidRDefault="00145E57" w:rsidP="00145E57">
      <w:pPr>
        <w:pStyle w:val="int"/>
        <w:shd w:val="clear" w:color="auto" w:fill="FFFFFF"/>
        <w:spacing w:before="0" w:beforeAutospacing="0" w:after="0" w:afterAutospacing="0"/>
        <w:jc w:val="both"/>
        <w:rPr>
          <w:rFonts w:ascii="Bookman Old Style" w:hAnsi="Bookman Old Style"/>
          <w:color w:val="000000"/>
          <w:sz w:val="22"/>
          <w:szCs w:val="22"/>
        </w:rPr>
      </w:pPr>
      <w:r w:rsidRPr="000A4E63">
        <w:rPr>
          <w:rFonts w:ascii="Bookman Old Style" w:hAnsi="Bookman Old Style"/>
          <w:color w:val="000000"/>
          <w:sz w:val="22"/>
          <w:szCs w:val="22"/>
        </w:rPr>
        <w:t>- l’esonero dal pagamento del canone di cui all'articolo 1, c. 816 e seguenti, della legge n. 160/2019 per le imprese di pubblico esercizio, titolari di concessioni o di autorizzazioni concernenti l'utilizzazione del suolo pubblico;</w:t>
      </w:r>
    </w:p>
    <w:p w:rsidR="00FC7994" w:rsidRDefault="00145E57" w:rsidP="00145E57">
      <w:pPr>
        <w:pStyle w:val="int"/>
        <w:shd w:val="clear" w:color="auto" w:fill="FFFFFF"/>
        <w:spacing w:before="0" w:beforeAutospacing="0" w:after="0" w:afterAutospacing="0"/>
        <w:jc w:val="both"/>
        <w:rPr>
          <w:rFonts w:ascii="Bookman Old Style" w:hAnsi="Bookman Old Style"/>
          <w:color w:val="000000"/>
          <w:sz w:val="22"/>
          <w:szCs w:val="22"/>
        </w:rPr>
      </w:pPr>
      <w:r w:rsidRPr="000A4E63">
        <w:rPr>
          <w:rFonts w:ascii="Bookman Old Style" w:hAnsi="Bookman Old Style"/>
          <w:color w:val="000000"/>
          <w:sz w:val="22"/>
          <w:szCs w:val="22"/>
        </w:rPr>
        <w:t xml:space="preserve"> - l’esonero dal pagamento del canone di cui all'articolo 1, c. 837 e seguenti, della legge n. 160/2019 per i titolari di concessioni o di autorizzazioni concernenti l'utilizzazione temporanea del suolo pubblico per l'esercizio del commercio su aree pubbliche; </w:t>
      </w:r>
    </w:p>
    <w:p w:rsidR="00145E57" w:rsidRPr="000A4E63" w:rsidRDefault="00145E57" w:rsidP="00145E57">
      <w:pPr>
        <w:pStyle w:val="int"/>
        <w:shd w:val="clear" w:color="auto" w:fill="FFFFFF"/>
        <w:spacing w:before="0" w:beforeAutospacing="0" w:after="0" w:afterAutospacing="0"/>
        <w:jc w:val="both"/>
        <w:rPr>
          <w:rFonts w:ascii="Bookman Old Style" w:hAnsi="Bookman Old Style"/>
          <w:color w:val="000000"/>
          <w:sz w:val="22"/>
          <w:szCs w:val="22"/>
        </w:rPr>
      </w:pPr>
      <w:r w:rsidRPr="000A4E63">
        <w:rPr>
          <w:rFonts w:ascii="Bookman Old Style" w:hAnsi="Bookman Old Style"/>
          <w:color w:val="000000"/>
          <w:sz w:val="22"/>
          <w:szCs w:val="22"/>
        </w:rPr>
        <w:t xml:space="preserve">- le misure di semplificazione per la presentazione delle domande di nuove concessioni per l'occupazione di suolo pubblico o di ampliamento delle superfici già concesse: le domande sono presentate in via telematica all'ufficio competente dell'ente locale, con allegata la sola planimetria, in deroga al regolamento di cui DPR 160/2010, e senza applicazione dell'imposta di bollo di cui al DPR n. 642/1972; </w:t>
      </w:r>
    </w:p>
    <w:p w:rsidR="00145E57" w:rsidRPr="000A4E63" w:rsidRDefault="00145E57" w:rsidP="00145E57">
      <w:pPr>
        <w:pStyle w:val="int"/>
        <w:shd w:val="clear" w:color="auto" w:fill="FFFFFF"/>
        <w:spacing w:before="0" w:beforeAutospacing="0" w:after="0" w:afterAutospacing="0"/>
        <w:jc w:val="both"/>
        <w:rPr>
          <w:rFonts w:ascii="Bookman Old Style" w:hAnsi="Bookman Old Style"/>
          <w:color w:val="000000"/>
          <w:sz w:val="22"/>
          <w:szCs w:val="22"/>
        </w:rPr>
      </w:pPr>
      <w:r w:rsidRPr="000A4E63">
        <w:rPr>
          <w:rFonts w:ascii="Bookman Old Style" w:hAnsi="Bookman Old Style"/>
          <w:color w:val="000000"/>
          <w:sz w:val="22"/>
          <w:szCs w:val="22"/>
        </w:rPr>
        <w:t xml:space="preserve">- le misure di semplificazione per la posa in opera temporanea su vie, piazze, strade e altri spazi aperti di interesse culturale o paesaggistico, da parte dei titolari di pubblici esercizi, di strutture amovibili quali dehors, elementi di arredo urbano, attrezzature, pedane, tavolini, sedute e ombrelloni: la posa in opera non è subordinata alle autorizzazioni di cui agli artt. 21 e 146 del Codice dei beni culturali di cui al </w:t>
      </w:r>
      <w:proofErr w:type="spellStart"/>
      <w:r w:rsidRPr="000A4E63">
        <w:rPr>
          <w:rFonts w:ascii="Bookman Old Style" w:hAnsi="Bookman Old Style"/>
          <w:color w:val="000000"/>
          <w:sz w:val="22"/>
          <w:szCs w:val="22"/>
        </w:rPr>
        <w:t>D.lgs</w:t>
      </w:r>
      <w:proofErr w:type="spellEnd"/>
      <w:r w:rsidRPr="000A4E63">
        <w:rPr>
          <w:rFonts w:ascii="Bookman Old Style" w:hAnsi="Bookman Old Style"/>
          <w:color w:val="000000"/>
          <w:sz w:val="22"/>
          <w:szCs w:val="22"/>
        </w:rPr>
        <w:t xml:space="preserve"> n. 42/2004 ed è disapplicato il limite temporale di cui all'articolo 6, c. 1, lettera e-bis), del DPR n. 380/2001.</w:t>
      </w:r>
    </w:p>
    <w:p w:rsidR="00145E57" w:rsidRPr="000A4E63" w:rsidRDefault="00145E57" w:rsidP="00145E57">
      <w:pPr>
        <w:pStyle w:val="int"/>
        <w:shd w:val="clear" w:color="auto" w:fill="FFFFFF"/>
        <w:spacing w:before="0" w:beforeAutospacing="0" w:after="0" w:afterAutospacing="0"/>
        <w:jc w:val="both"/>
        <w:rPr>
          <w:rFonts w:ascii="Bookman Old Style" w:hAnsi="Bookman Old Style"/>
          <w:color w:val="000000"/>
          <w:sz w:val="22"/>
          <w:szCs w:val="22"/>
        </w:rPr>
      </w:pPr>
    </w:p>
    <w:p w:rsidR="00145E57" w:rsidRPr="000A4E63" w:rsidRDefault="00145E57" w:rsidP="00145E57">
      <w:pPr>
        <w:pStyle w:val="int"/>
        <w:shd w:val="clear" w:color="auto" w:fill="FFFFFF"/>
        <w:spacing w:before="0" w:beforeAutospacing="0" w:after="0" w:afterAutospacing="0"/>
        <w:jc w:val="both"/>
        <w:rPr>
          <w:rFonts w:ascii="Bookman Old Style" w:hAnsi="Bookman Old Style"/>
          <w:color w:val="000000"/>
          <w:sz w:val="22"/>
          <w:szCs w:val="22"/>
        </w:rPr>
      </w:pPr>
      <w:r>
        <w:rPr>
          <w:rFonts w:ascii="Bookman Old Style" w:hAnsi="Bookman Old Style"/>
          <w:b/>
          <w:bCs/>
          <w:color w:val="000000"/>
          <w:sz w:val="22"/>
          <w:szCs w:val="22"/>
        </w:rPr>
        <w:t xml:space="preserve">Inoltre </w:t>
      </w:r>
      <w:r w:rsidRPr="00FA5E97">
        <w:rPr>
          <w:rFonts w:ascii="Bookman Old Style" w:hAnsi="Bookman Old Style"/>
          <w:b/>
          <w:bCs/>
          <w:color w:val="000000"/>
          <w:sz w:val="22"/>
          <w:szCs w:val="22"/>
        </w:rPr>
        <w:t xml:space="preserve">per il ristoro ai comuni delle minori entrate derivanti dal comma 1 </w:t>
      </w:r>
      <w:r>
        <w:rPr>
          <w:rFonts w:ascii="Bookman Old Style" w:hAnsi="Bookman Old Style"/>
          <w:b/>
          <w:bCs/>
          <w:color w:val="000000"/>
          <w:sz w:val="22"/>
          <w:szCs w:val="22"/>
        </w:rPr>
        <w:t>è</w:t>
      </w:r>
      <w:r w:rsidRPr="00FA5E97">
        <w:rPr>
          <w:rFonts w:ascii="Bookman Old Style" w:hAnsi="Bookman Old Style"/>
          <w:b/>
          <w:bCs/>
          <w:color w:val="000000"/>
          <w:sz w:val="22"/>
          <w:szCs w:val="22"/>
        </w:rPr>
        <w:t xml:space="preserve"> istituito, nello stato di previsione del Ministero dell’Interno, un fondo con una dotazione di 82,5 milioni di euro per l’anno 2022</w:t>
      </w:r>
      <w:r w:rsidRPr="000A4E63">
        <w:rPr>
          <w:rFonts w:ascii="Bookman Old Style" w:hAnsi="Bookman Old Style"/>
          <w:color w:val="000000"/>
          <w:sz w:val="22"/>
          <w:szCs w:val="22"/>
        </w:rPr>
        <w:t>. Alla ripartizione del fondo tra gli enti interessati si provvede con uno o più decreti del Ministro dell’Interno, di concerto con il Ministro dell’economia e delle finanze, d’intesa con la Conferenza Stato città ed autonomie locali, da adottare entro il 30 giugno 2022.</w:t>
      </w:r>
    </w:p>
    <w:p w:rsidR="00145E57" w:rsidRDefault="002329B0" w:rsidP="00145E57">
      <w:pPr>
        <w:pStyle w:val="int"/>
        <w:shd w:val="clear" w:color="auto" w:fill="FFFFFF"/>
        <w:spacing w:before="0" w:beforeAutospacing="0" w:after="0" w:afterAutospacing="0"/>
        <w:jc w:val="both"/>
        <w:rPr>
          <w:rFonts w:ascii="Bookman Old Style" w:hAnsi="Bookman Old Style"/>
          <w:color w:val="000000"/>
          <w:sz w:val="22"/>
          <w:szCs w:val="22"/>
        </w:rPr>
      </w:pPr>
      <w:r>
        <w:rPr>
          <w:rFonts w:ascii="Bookman Old Style" w:hAnsi="Bookman Old Style"/>
          <w:color w:val="000000"/>
          <w:sz w:val="22"/>
          <w:szCs w:val="22"/>
        </w:rPr>
        <w:t>La</w:t>
      </w:r>
      <w:r w:rsidR="00145E57" w:rsidRPr="000A4E63">
        <w:rPr>
          <w:rFonts w:ascii="Bookman Old Style" w:hAnsi="Bookman Old Style"/>
          <w:color w:val="000000"/>
          <w:sz w:val="22"/>
          <w:szCs w:val="22"/>
        </w:rPr>
        <w:t xml:space="preserve"> </w:t>
      </w:r>
      <w:r w:rsidRPr="000A4E63">
        <w:rPr>
          <w:rFonts w:ascii="Bookman Old Style" w:hAnsi="Bookman Old Style"/>
          <w:color w:val="000000"/>
          <w:sz w:val="22"/>
          <w:szCs w:val="22"/>
        </w:rPr>
        <w:t>copertur</w:t>
      </w:r>
      <w:r>
        <w:rPr>
          <w:rFonts w:ascii="Bookman Old Style" w:hAnsi="Bookman Old Style"/>
          <w:color w:val="000000"/>
          <w:sz w:val="22"/>
          <w:szCs w:val="22"/>
        </w:rPr>
        <w:t>a</w:t>
      </w:r>
      <w:r w:rsidRPr="000A4E63">
        <w:rPr>
          <w:rFonts w:ascii="Bookman Old Style" w:hAnsi="Bookman Old Style"/>
          <w:color w:val="000000"/>
          <w:sz w:val="22"/>
          <w:szCs w:val="22"/>
        </w:rPr>
        <w:t xml:space="preserve"> </w:t>
      </w:r>
      <w:r w:rsidR="00145E57" w:rsidRPr="000A4E63">
        <w:rPr>
          <w:rFonts w:ascii="Bookman Old Style" w:hAnsi="Bookman Old Style"/>
          <w:color w:val="000000"/>
          <w:sz w:val="22"/>
          <w:szCs w:val="22"/>
        </w:rPr>
        <w:t>degli oneri, pari a 82,5 milioni di euro per l’anno 2022</w:t>
      </w:r>
      <w:r>
        <w:rPr>
          <w:rFonts w:ascii="Bookman Old Style" w:hAnsi="Bookman Old Style"/>
          <w:color w:val="000000"/>
          <w:sz w:val="22"/>
          <w:szCs w:val="22"/>
        </w:rPr>
        <w:t xml:space="preserve">è ottenuta </w:t>
      </w:r>
      <w:r w:rsidR="00145E57" w:rsidRPr="000A4E63">
        <w:rPr>
          <w:rFonts w:ascii="Bookman Old Style" w:hAnsi="Bookman Old Style"/>
          <w:color w:val="000000"/>
          <w:sz w:val="22"/>
          <w:szCs w:val="22"/>
        </w:rPr>
        <w:t>mediante corrispondente riduzione del Fondo per le esigenze indifferibili di cui all’articolo 1, c. 200, della legge n. 190/2014</w:t>
      </w:r>
      <w:r w:rsidR="00145E57">
        <w:rPr>
          <w:rFonts w:ascii="Bookman Old Style" w:hAnsi="Bookman Old Style"/>
          <w:color w:val="000000"/>
          <w:sz w:val="22"/>
          <w:szCs w:val="22"/>
        </w:rPr>
        <w:t xml:space="preserve"> come incrementato dalla presente legge di bilancio.</w:t>
      </w:r>
    </w:p>
    <w:p w:rsidR="00D44A41" w:rsidRPr="000A4E63" w:rsidRDefault="00D44A41" w:rsidP="00145E57">
      <w:pPr>
        <w:pStyle w:val="int"/>
        <w:shd w:val="clear" w:color="auto" w:fill="FFFFFF"/>
        <w:spacing w:before="0" w:beforeAutospacing="0" w:after="0" w:afterAutospacing="0"/>
        <w:jc w:val="both"/>
        <w:rPr>
          <w:rFonts w:ascii="Bookman Old Style" w:hAnsi="Bookman Old Style"/>
          <w:color w:val="000000"/>
          <w:sz w:val="22"/>
          <w:szCs w:val="22"/>
        </w:rPr>
      </w:pPr>
    </w:p>
    <w:p w:rsidR="00281AC5" w:rsidRPr="00950095" w:rsidRDefault="00281AC5" w:rsidP="00E3456B">
      <w:pPr>
        <w:pStyle w:val="Paragrafoelenco"/>
        <w:numPr>
          <w:ilvl w:val="0"/>
          <w:numId w:val="18"/>
        </w:numPr>
        <w:spacing w:line="240" w:lineRule="auto"/>
        <w:contextualSpacing/>
        <w:jc w:val="both"/>
        <w:rPr>
          <w:rFonts w:ascii="Bookman Old Style" w:hAnsi="Bookman Old Style"/>
          <w:b/>
          <w:bCs/>
          <w:color w:val="FF0000"/>
        </w:rPr>
      </w:pPr>
      <w:r w:rsidRPr="00950095">
        <w:rPr>
          <w:rFonts w:ascii="Bookman Old Style" w:hAnsi="Bookman Old Style"/>
          <w:b/>
          <w:bCs/>
          <w:color w:val="FF0000"/>
        </w:rPr>
        <w:t>Fondo per le non autosufficienze (art. 1, comma 677)</w:t>
      </w:r>
    </w:p>
    <w:p w:rsidR="00281AC5" w:rsidRPr="00855B89" w:rsidRDefault="00281AC5" w:rsidP="00281AC5">
      <w:pPr>
        <w:jc w:val="both"/>
        <w:rPr>
          <w:rFonts w:ascii="Bookman Old Style" w:eastAsia="Times New Roman" w:hAnsi="Bookman Old Style"/>
          <w:sz w:val="22"/>
          <w:szCs w:val="22"/>
        </w:rPr>
      </w:pPr>
      <w:r w:rsidRPr="00855B89">
        <w:rPr>
          <w:rFonts w:ascii="Bookman Old Style" w:hAnsi="Bookman Old Style"/>
          <w:sz w:val="22"/>
          <w:szCs w:val="22"/>
        </w:rPr>
        <w:t xml:space="preserve">Il Fondo per le non autosufficienze è integrato </w:t>
      </w:r>
      <w:r>
        <w:rPr>
          <w:rFonts w:ascii="Bookman Old Style" w:hAnsi="Bookman Old Style"/>
          <w:sz w:val="22"/>
          <w:szCs w:val="22"/>
        </w:rPr>
        <w:t xml:space="preserve">di </w:t>
      </w:r>
      <w:r w:rsidRPr="00855B89">
        <w:rPr>
          <w:rFonts w:ascii="Bookman Old Style" w:hAnsi="Bookman Old Style"/>
          <w:sz w:val="22"/>
          <w:szCs w:val="22"/>
        </w:rPr>
        <w:t>15 milioni di euro per l’anno 2022.</w:t>
      </w:r>
    </w:p>
    <w:p w:rsidR="00281AC5" w:rsidRDefault="00281AC5" w:rsidP="00281AC5">
      <w:pPr>
        <w:jc w:val="both"/>
        <w:rPr>
          <w:rFonts w:ascii="Bookman Old Style" w:eastAsia="Times New Roman" w:hAnsi="Bookman Old Style"/>
          <w:sz w:val="22"/>
          <w:szCs w:val="22"/>
        </w:rPr>
      </w:pPr>
    </w:p>
    <w:p w:rsidR="00281AC5" w:rsidRDefault="00281AC5" w:rsidP="00281AC5">
      <w:pPr>
        <w:jc w:val="both"/>
        <w:rPr>
          <w:rFonts w:ascii="Bookman Old Style" w:eastAsia="Times New Roman" w:hAnsi="Bookman Old Style"/>
          <w:sz w:val="22"/>
          <w:szCs w:val="22"/>
        </w:rPr>
      </w:pPr>
    </w:p>
    <w:p w:rsidR="00010189" w:rsidRPr="00950095" w:rsidRDefault="00010189" w:rsidP="00010189">
      <w:pPr>
        <w:pStyle w:val="Paragrafoelenco"/>
        <w:numPr>
          <w:ilvl w:val="0"/>
          <w:numId w:val="18"/>
        </w:numPr>
        <w:spacing w:line="240" w:lineRule="auto"/>
        <w:contextualSpacing/>
        <w:jc w:val="both"/>
        <w:rPr>
          <w:rFonts w:ascii="Bookman Old Style" w:hAnsi="Bookman Old Style"/>
          <w:b/>
          <w:bCs/>
          <w:color w:val="FF0000"/>
        </w:rPr>
      </w:pPr>
      <w:r w:rsidRPr="00950095">
        <w:rPr>
          <w:rFonts w:ascii="Bookman Old Style" w:hAnsi="Bookman Old Style"/>
          <w:b/>
          <w:bCs/>
          <w:color w:val="FF0000"/>
        </w:rPr>
        <w:t>Disposizioni in materia di procedura di riequilibrio finanziario dei Comuni (art. 1, comma 767)</w:t>
      </w:r>
    </w:p>
    <w:p w:rsidR="00010189" w:rsidRPr="000A4E63" w:rsidRDefault="00010189" w:rsidP="00010189">
      <w:pPr>
        <w:pStyle w:val="int"/>
        <w:shd w:val="clear" w:color="auto" w:fill="FFFFFF"/>
        <w:spacing w:before="0" w:beforeAutospacing="0" w:after="0" w:afterAutospacing="0"/>
        <w:ind w:left="30"/>
        <w:jc w:val="both"/>
        <w:rPr>
          <w:rFonts w:ascii="Bookman Old Style" w:hAnsi="Bookman Old Style"/>
          <w:color w:val="000000"/>
          <w:sz w:val="22"/>
          <w:szCs w:val="22"/>
        </w:rPr>
      </w:pPr>
      <w:r w:rsidRPr="00E3456B">
        <w:rPr>
          <w:rFonts w:ascii="Bookman Old Style" w:hAnsi="Bookman Old Style"/>
          <w:color w:val="000000"/>
          <w:sz w:val="22"/>
          <w:szCs w:val="22"/>
        </w:rPr>
        <w:t>La norma stabilisce che i comuni che hanno deliberato la procedura di riequilibrio finanziario di cui all'articolo 243</w:t>
      </w:r>
      <w:r w:rsidRPr="00E3456B">
        <w:rPr>
          <w:rFonts w:ascii="Bookman Old Style" w:hAnsi="Bookman Old Style"/>
          <w:i/>
          <w:iCs/>
          <w:color w:val="000000"/>
          <w:sz w:val="22"/>
          <w:szCs w:val="22"/>
        </w:rPr>
        <w:t>-bis</w:t>
      </w:r>
      <w:r w:rsidRPr="00E3456B">
        <w:rPr>
          <w:rFonts w:ascii="Bookman Old Style" w:hAnsi="Bookman Old Style"/>
          <w:color w:val="000000"/>
          <w:sz w:val="22"/>
          <w:szCs w:val="22"/>
        </w:rPr>
        <w:t> </w:t>
      </w:r>
      <w:r w:rsidR="00E41963" w:rsidRPr="00E3456B">
        <w:rPr>
          <w:rFonts w:ascii="Bookman Old Style" w:hAnsi="Bookman Old Style"/>
          <w:color w:val="000000"/>
          <w:sz w:val="22"/>
          <w:szCs w:val="22"/>
        </w:rPr>
        <w:t>TUEL</w:t>
      </w:r>
      <w:r w:rsidR="00D44A41" w:rsidRPr="00E3456B">
        <w:rPr>
          <w:rFonts w:ascii="Bookman Old Style" w:hAnsi="Bookman Old Style"/>
          <w:color w:val="000000"/>
          <w:sz w:val="22"/>
          <w:szCs w:val="22"/>
        </w:rPr>
        <w:t xml:space="preserve"> (cd. </w:t>
      </w:r>
      <w:proofErr w:type="spellStart"/>
      <w:r w:rsidR="00D44A41" w:rsidRPr="00E3456B">
        <w:rPr>
          <w:rFonts w:ascii="Bookman Old Style" w:hAnsi="Bookman Old Style"/>
          <w:color w:val="000000"/>
          <w:sz w:val="22"/>
          <w:szCs w:val="22"/>
        </w:rPr>
        <w:t>predissesto</w:t>
      </w:r>
      <w:proofErr w:type="spellEnd"/>
      <w:r w:rsidR="00D44A41" w:rsidRPr="00E3456B">
        <w:rPr>
          <w:rFonts w:ascii="Bookman Old Style" w:hAnsi="Bookman Old Style"/>
          <w:color w:val="000000"/>
          <w:sz w:val="22"/>
          <w:szCs w:val="22"/>
        </w:rPr>
        <w:t>)</w:t>
      </w:r>
      <w:r w:rsidR="00E41963" w:rsidRPr="00E3456B">
        <w:rPr>
          <w:rFonts w:ascii="Bookman Old Style" w:hAnsi="Bookman Old Style"/>
          <w:color w:val="000000"/>
          <w:sz w:val="22"/>
          <w:szCs w:val="22"/>
        </w:rPr>
        <w:t xml:space="preserve"> </w:t>
      </w:r>
      <w:r w:rsidRPr="00E3456B">
        <w:rPr>
          <w:rFonts w:ascii="Bookman Old Style" w:hAnsi="Bookman Old Style"/>
          <w:color w:val="000000"/>
          <w:sz w:val="22"/>
          <w:szCs w:val="22"/>
        </w:rPr>
        <w:t>nel secondo semestre del 2021 possono deliberare il piano di riequilibrio finanziario pluriennale entro il 31 gennaio 2022.</w:t>
      </w:r>
    </w:p>
    <w:p w:rsidR="00010189" w:rsidRPr="000A4E63" w:rsidRDefault="00010189" w:rsidP="00010189">
      <w:pPr>
        <w:jc w:val="both"/>
        <w:rPr>
          <w:rFonts w:ascii="Bookman Old Style" w:hAnsi="Bookman Old Style" w:cs="TimesNewRomanPS-BoldItalicMT"/>
          <w:b/>
          <w:bCs/>
          <w:i/>
          <w:iCs/>
          <w:sz w:val="22"/>
          <w:szCs w:val="22"/>
        </w:rPr>
      </w:pPr>
    </w:p>
    <w:p w:rsidR="00281AC5" w:rsidRPr="00950095" w:rsidRDefault="00281AC5" w:rsidP="00E3456B">
      <w:pPr>
        <w:pStyle w:val="Paragrafoelenco"/>
        <w:numPr>
          <w:ilvl w:val="0"/>
          <w:numId w:val="18"/>
        </w:numPr>
        <w:spacing w:line="240" w:lineRule="auto"/>
        <w:contextualSpacing/>
        <w:jc w:val="both"/>
        <w:rPr>
          <w:rFonts w:ascii="Bookman Old Style" w:hAnsi="Bookman Old Style"/>
          <w:b/>
          <w:bCs/>
          <w:color w:val="FF0000"/>
        </w:rPr>
      </w:pPr>
      <w:r w:rsidRPr="00950095">
        <w:rPr>
          <w:rFonts w:ascii="Bookman Old Style" w:hAnsi="Bookman Old Style"/>
          <w:b/>
          <w:bCs/>
          <w:color w:val="FF0000"/>
        </w:rPr>
        <w:t>Finanziamento Fondo salva-opere (art. 1, comma 815)</w:t>
      </w:r>
    </w:p>
    <w:p w:rsidR="00281AC5" w:rsidRPr="00C300C3" w:rsidRDefault="00281AC5" w:rsidP="00281AC5">
      <w:pPr>
        <w:jc w:val="both"/>
        <w:rPr>
          <w:rFonts w:ascii="Bookman Old Style" w:eastAsia="Times New Roman" w:hAnsi="Bookman Old Style"/>
          <w:b/>
          <w:bCs/>
          <w:color w:val="002060"/>
          <w:sz w:val="22"/>
          <w:szCs w:val="22"/>
        </w:rPr>
      </w:pPr>
      <w:r w:rsidRPr="00D36FD9">
        <w:rPr>
          <w:rFonts w:ascii="Bookman Old Style" w:hAnsi="Bookman Old Style"/>
          <w:sz w:val="22"/>
          <w:szCs w:val="22"/>
        </w:rPr>
        <w:t>Il Fondo salva-opere di cui all’arti</w:t>
      </w:r>
      <w:r w:rsidRPr="00D36FD9">
        <w:rPr>
          <w:rFonts w:ascii="Bookman Old Style" w:hAnsi="Bookman Old Style"/>
          <w:sz w:val="22"/>
          <w:szCs w:val="22"/>
        </w:rPr>
        <w:softHyphen/>
        <w:t xml:space="preserve">colo 47 del decreto-legge 30 aprile 2019, n. 34, è incrementato di </w:t>
      </w:r>
      <w:r w:rsidRPr="00C300C3">
        <w:rPr>
          <w:rFonts w:ascii="Bookman Old Style" w:hAnsi="Bookman Old Style"/>
          <w:b/>
          <w:bCs/>
          <w:sz w:val="22"/>
          <w:szCs w:val="22"/>
        </w:rPr>
        <w:t>1 milione di euro per l’anno 2022.</w:t>
      </w:r>
    </w:p>
    <w:p w:rsidR="00281AC5" w:rsidRDefault="00281AC5" w:rsidP="00281AC5">
      <w:pPr>
        <w:jc w:val="both"/>
        <w:rPr>
          <w:rFonts w:ascii="Bookman Old Style" w:eastAsia="Times New Roman" w:hAnsi="Bookman Old Style"/>
          <w:sz w:val="22"/>
          <w:szCs w:val="22"/>
        </w:rPr>
      </w:pPr>
    </w:p>
    <w:p w:rsidR="00281AC5" w:rsidRPr="00950095" w:rsidRDefault="00281AC5" w:rsidP="00281AC5">
      <w:pPr>
        <w:pStyle w:val="Paragrafoelenco"/>
        <w:numPr>
          <w:ilvl w:val="0"/>
          <w:numId w:val="18"/>
        </w:numPr>
        <w:spacing w:line="240" w:lineRule="auto"/>
        <w:contextualSpacing/>
        <w:rPr>
          <w:rFonts w:ascii="Bookman Old Style" w:hAnsi="Bookman Old Style"/>
          <w:b/>
          <w:bCs/>
          <w:color w:val="FF0000"/>
        </w:rPr>
      </w:pPr>
      <w:r w:rsidRPr="00950095">
        <w:rPr>
          <w:rFonts w:ascii="Bookman Old Style" w:hAnsi="Bookman Old Style"/>
          <w:b/>
          <w:bCs/>
          <w:color w:val="FF0000"/>
        </w:rPr>
        <w:t>Spesa per investimenti pubblici (art. 1, comma da 820)</w:t>
      </w:r>
    </w:p>
    <w:p w:rsidR="00281AC5" w:rsidRPr="000A4E63" w:rsidRDefault="003064E0" w:rsidP="00281AC5">
      <w:pPr>
        <w:shd w:val="clear" w:color="auto" w:fill="FFFFFF"/>
        <w:ind w:left="30"/>
        <w:jc w:val="both"/>
        <w:rPr>
          <w:rFonts w:ascii="Bookman Old Style" w:eastAsia="Times New Roman" w:hAnsi="Bookman Old Style" w:cs="Times New Roman"/>
          <w:color w:val="000000"/>
          <w:sz w:val="22"/>
          <w:szCs w:val="22"/>
          <w:lang w:eastAsia="it-IT"/>
        </w:rPr>
      </w:pPr>
      <w:r w:rsidRPr="00E3456B">
        <w:rPr>
          <w:rFonts w:ascii="Bookman Old Style" w:eastAsia="Times New Roman" w:hAnsi="Bookman Old Style" w:cs="Times New Roman"/>
          <w:b/>
          <w:bCs/>
          <w:color w:val="000000"/>
          <w:sz w:val="22"/>
          <w:szCs w:val="22"/>
          <w:lang w:eastAsia="it-IT"/>
        </w:rPr>
        <w:t>A</w:t>
      </w:r>
      <w:r w:rsidR="00281AC5" w:rsidRPr="000A4E63">
        <w:rPr>
          <w:rFonts w:ascii="Bookman Old Style" w:eastAsia="Times New Roman" w:hAnsi="Bookman Old Style" w:cs="Times New Roman"/>
          <w:b/>
          <w:bCs/>
          <w:color w:val="000000"/>
          <w:sz w:val="22"/>
          <w:szCs w:val="22"/>
          <w:lang w:eastAsia="it-IT"/>
        </w:rPr>
        <w:t>l fine di sostenere e accelerare la spesa per investimenti pubblici da parte dello Stato, delle regioni, degli enti locali</w:t>
      </w:r>
      <w:r w:rsidR="00281AC5" w:rsidRPr="000A4E63">
        <w:rPr>
          <w:rFonts w:ascii="Bookman Old Style" w:eastAsia="Times New Roman" w:hAnsi="Bookman Old Style" w:cs="Times New Roman"/>
          <w:color w:val="000000"/>
          <w:sz w:val="22"/>
          <w:szCs w:val="22"/>
          <w:lang w:eastAsia="it-IT"/>
        </w:rPr>
        <w:t xml:space="preserve"> e degli altri enti pubblici, anche con riferimento agli interventi previsti dal PNRR e con particolare riguardo alla redazione delle valutazioni di impatto ambientale e dei documenti relativi a tutti i livelli progettuali previsti dalla normativa vigente, </w:t>
      </w:r>
      <w:r w:rsidR="00281AC5" w:rsidRPr="000A4E63">
        <w:rPr>
          <w:rFonts w:ascii="Bookman Old Style" w:eastAsia="Times New Roman" w:hAnsi="Bookman Old Style" w:cs="Times New Roman"/>
          <w:b/>
          <w:bCs/>
          <w:color w:val="000000"/>
          <w:sz w:val="22"/>
          <w:szCs w:val="22"/>
          <w:lang w:eastAsia="it-IT"/>
        </w:rPr>
        <w:t>gli oneri posti a carico del bilancio dello Stato</w:t>
      </w:r>
      <w:r w:rsidR="00281AC5" w:rsidRPr="000A4E63">
        <w:rPr>
          <w:rFonts w:ascii="Bookman Old Style" w:eastAsia="Times New Roman" w:hAnsi="Bookman Old Style" w:cs="Times New Roman"/>
          <w:color w:val="000000"/>
          <w:sz w:val="22"/>
          <w:szCs w:val="22"/>
          <w:lang w:eastAsia="it-IT"/>
        </w:rPr>
        <w:t xml:space="preserve"> ai sensi dell'articolo 1, comma 58, della legge 28 dicembre 1995, n. 549</w:t>
      </w:r>
      <w:r>
        <w:rPr>
          <w:rFonts w:ascii="Bookman Old Style" w:eastAsia="Times New Roman" w:hAnsi="Bookman Old Style" w:cs="Times New Roman"/>
          <w:color w:val="000000"/>
          <w:sz w:val="22"/>
          <w:szCs w:val="22"/>
          <w:lang w:eastAsia="it-IT"/>
        </w:rPr>
        <w:t xml:space="preserve"> (fondo per la progettualità CDP)</w:t>
      </w:r>
      <w:r w:rsidR="00281AC5" w:rsidRPr="000A4E63">
        <w:rPr>
          <w:rFonts w:ascii="Bookman Old Style" w:eastAsia="Times New Roman" w:hAnsi="Bookman Old Style" w:cs="Times New Roman"/>
          <w:color w:val="000000"/>
          <w:sz w:val="22"/>
          <w:szCs w:val="22"/>
          <w:lang w:eastAsia="it-IT"/>
        </w:rPr>
        <w:t xml:space="preserve">, </w:t>
      </w:r>
      <w:r w:rsidR="00281AC5" w:rsidRPr="000A4E63">
        <w:rPr>
          <w:rFonts w:ascii="Bookman Old Style" w:eastAsia="Times New Roman" w:hAnsi="Bookman Old Style" w:cs="Times New Roman"/>
          <w:b/>
          <w:bCs/>
          <w:color w:val="000000"/>
          <w:sz w:val="22"/>
          <w:szCs w:val="22"/>
          <w:lang w:eastAsia="it-IT"/>
        </w:rPr>
        <w:t xml:space="preserve">sono incrementati di </w:t>
      </w:r>
      <w:r w:rsidR="00281AC5">
        <w:rPr>
          <w:rFonts w:ascii="Bookman Old Style" w:eastAsia="Times New Roman" w:hAnsi="Bookman Old Style" w:cs="Times New Roman"/>
          <w:b/>
          <w:bCs/>
          <w:color w:val="000000"/>
          <w:sz w:val="22"/>
          <w:szCs w:val="22"/>
          <w:lang w:eastAsia="it-IT"/>
        </w:rPr>
        <w:t>700.000</w:t>
      </w:r>
      <w:r w:rsidR="00281AC5" w:rsidRPr="000A4E63">
        <w:rPr>
          <w:rFonts w:ascii="Bookman Old Style" w:eastAsia="Times New Roman" w:hAnsi="Bookman Old Style" w:cs="Times New Roman"/>
          <w:b/>
          <w:bCs/>
          <w:color w:val="000000"/>
          <w:sz w:val="22"/>
          <w:szCs w:val="22"/>
          <w:lang w:eastAsia="it-IT"/>
        </w:rPr>
        <w:t xml:space="preserve"> euro per </w:t>
      </w:r>
      <w:r w:rsidR="00281AC5">
        <w:rPr>
          <w:rFonts w:ascii="Bookman Old Style" w:eastAsia="Times New Roman" w:hAnsi="Bookman Old Style" w:cs="Times New Roman"/>
          <w:b/>
          <w:bCs/>
          <w:color w:val="000000"/>
          <w:sz w:val="22"/>
          <w:szCs w:val="22"/>
          <w:lang w:eastAsia="it-IT"/>
        </w:rPr>
        <w:t>l’anno 2022</w:t>
      </w:r>
      <w:r w:rsidR="00281AC5" w:rsidRPr="000A4E63">
        <w:rPr>
          <w:rFonts w:ascii="Bookman Old Style" w:eastAsia="Times New Roman" w:hAnsi="Bookman Old Style" w:cs="Times New Roman"/>
          <w:color w:val="000000"/>
          <w:sz w:val="22"/>
          <w:szCs w:val="22"/>
          <w:lang w:eastAsia="it-IT"/>
        </w:rPr>
        <w:t>.</w:t>
      </w:r>
    </w:p>
    <w:p w:rsidR="00281AC5" w:rsidRDefault="00281AC5" w:rsidP="00281AC5">
      <w:pPr>
        <w:contextualSpacing/>
        <w:rPr>
          <w:rFonts w:ascii="Bookman Old Style" w:hAnsi="Bookman Old Style"/>
          <w:b/>
          <w:bCs/>
          <w:color w:val="002060"/>
          <w:sz w:val="22"/>
          <w:szCs w:val="22"/>
        </w:rPr>
      </w:pPr>
    </w:p>
    <w:p w:rsidR="00145E57" w:rsidRPr="0049541E" w:rsidRDefault="00145E57" w:rsidP="00010189">
      <w:pPr>
        <w:pStyle w:val="Corpotesto"/>
        <w:spacing w:line="232" w:lineRule="auto"/>
        <w:ind w:right="161"/>
        <w:rPr>
          <w:rFonts w:ascii="Bookman Old Style" w:eastAsiaTheme="minorHAnsi" w:hAnsi="Bookman Old Style" w:cstheme="minorBidi"/>
          <w:b/>
          <w:bCs/>
          <w:color w:val="002060"/>
          <w:sz w:val="22"/>
          <w:szCs w:val="22"/>
        </w:rPr>
      </w:pPr>
    </w:p>
    <w:p w:rsidR="00B80FC4" w:rsidRPr="00950095" w:rsidRDefault="00B80FC4" w:rsidP="00B80FC4">
      <w:pPr>
        <w:pStyle w:val="Corpotesto"/>
        <w:numPr>
          <w:ilvl w:val="0"/>
          <w:numId w:val="16"/>
        </w:numPr>
        <w:spacing w:line="232" w:lineRule="auto"/>
        <w:ind w:right="161"/>
        <w:jc w:val="left"/>
        <w:rPr>
          <w:rFonts w:ascii="Bookman Old Style" w:eastAsiaTheme="minorHAnsi" w:hAnsi="Bookman Old Style" w:cstheme="minorBidi"/>
          <w:b/>
          <w:bCs/>
          <w:color w:val="FF0000"/>
          <w:sz w:val="22"/>
          <w:szCs w:val="22"/>
        </w:rPr>
      </w:pPr>
      <w:r w:rsidRPr="00950095">
        <w:rPr>
          <w:rFonts w:ascii="Bookman Old Style" w:eastAsiaTheme="minorHAnsi" w:hAnsi="Bookman Old Style" w:cstheme="minorBidi"/>
          <w:b/>
          <w:bCs/>
          <w:color w:val="FF0000"/>
          <w:sz w:val="22"/>
          <w:szCs w:val="22"/>
        </w:rPr>
        <w:t xml:space="preserve">Rifinanziamento fondo demolizione opere abusive (art. 1, commi 873-874) </w:t>
      </w:r>
    </w:p>
    <w:p w:rsidR="00B80FC4" w:rsidRPr="009103E2" w:rsidRDefault="00B80FC4" w:rsidP="00B80FC4">
      <w:pPr>
        <w:pStyle w:val="Corpotesto"/>
        <w:spacing w:line="232" w:lineRule="auto"/>
        <w:ind w:right="161"/>
        <w:rPr>
          <w:rFonts w:ascii="Bookman Old Style" w:hAnsi="Bookman Old Style"/>
          <w:b/>
          <w:bCs/>
        </w:rPr>
      </w:pPr>
      <w:r w:rsidRPr="00D061FA">
        <w:rPr>
          <w:rFonts w:ascii="Bookman Old Style" w:hAnsi="Bookman Old Style"/>
        </w:rPr>
        <w:t xml:space="preserve"> Il Fondo per la demolizione delle opere abusive è incrementato di </w:t>
      </w:r>
      <w:r w:rsidRPr="009103E2">
        <w:rPr>
          <w:rFonts w:ascii="Bookman Old Style" w:hAnsi="Bookman Old Style"/>
          <w:b/>
          <w:bCs/>
        </w:rPr>
        <w:t>2 milioni di euro</w:t>
      </w:r>
      <w:r w:rsidRPr="00D061FA">
        <w:rPr>
          <w:rFonts w:ascii="Bookman Old Style" w:hAnsi="Bookman Old Style"/>
        </w:rPr>
        <w:t xml:space="preserve"> </w:t>
      </w:r>
      <w:r w:rsidRPr="009103E2">
        <w:rPr>
          <w:rFonts w:ascii="Bookman Old Style" w:hAnsi="Bookman Old Style"/>
          <w:b/>
          <w:bCs/>
        </w:rPr>
        <w:t>per cia</w:t>
      </w:r>
      <w:r w:rsidRPr="009103E2">
        <w:rPr>
          <w:rFonts w:ascii="Bookman Old Style" w:hAnsi="Bookman Old Style"/>
          <w:b/>
          <w:bCs/>
        </w:rPr>
        <w:softHyphen/>
        <w:t>scuno degli anni 2022 e 2023</w:t>
      </w:r>
    </w:p>
    <w:p w:rsidR="00B80FC4" w:rsidRPr="009103E2" w:rsidRDefault="00B80FC4" w:rsidP="00207FAA">
      <w:pPr>
        <w:spacing w:line="252" w:lineRule="auto"/>
        <w:contextualSpacing/>
        <w:rPr>
          <w:rFonts w:ascii="Bookman Old Style" w:hAnsi="Bookman Old Style"/>
          <w:b/>
          <w:bCs/>
          <w:color w:val="002060"/>
          <w:sz w:val="22"/>
          <w:szCs w:val="22"/>
        </w:rPr>
      </w:pPr>
    </w:p>
    <w:p w:rsidR="00207FAA" w:rsidRPr="000A4E63" w:rsidRDefault="00207FAA" w:rsidP="00207FAA">
      <w:pPr>
        <w:spacing w:line="252" w:lineRule="auto"/>
        <w:contextualSpacing/>
        <w:rPr>
          <w:rFonts w:ascii="Bookman Old Style" w:hAnsi="Bookman Old Style"/>
          <w:b/>
          <w:bCs/>
          <w:color w:val="002060"/>
          <w:sz w:val="22"/>
          <w:szCs w:val="22"/>
        </w:rPr>
      </w:pPr>
    </w:p>
    <w:p w:rsidR="00207FAA" w:rsidRPr="00E3456B" w:rsidRDefault="00207FAA" w:rsidP="00207FAA">
      <w:pPr>
        <w:pStyle w:val="Paragrafoelenco"/>
        <w:numPr>
          <w:ilvl w:val="0"/>
          <w:numId w:val="18"/>
        </w:numPr>
        <w:spacing w:line="240" w:lineRule="auto"/>
        <w:contextualSpacing/>
        <w:rPr>
          <w:rFonts w:ascii="Bookman Old Style" w:hAnsi="Bookman Old Style"/>
          <w:b/>
          <w:bCs/>
          <w:color w:val="002060"/>
        </w:rPr>
      </w:pPr>
      <w:r w:rsidRPr="00950095">
        <w:rPr>
          <w:rFonts w:ascii="Bookman Old Style" w:hAnsi="Bookman Old Style"/>
          <w:b/>
          <w:bCs/>
          <w:color w:val="FF0000"/>
        </w:rPr>
        <w:t>Facoltà di rimodulazione del Piano di riequilibrio finanziario pluriennale (</w:t>
      </w:r>
      <w:r w:rsidR="00E77627" w:rsidRPr="00950095">
        <w:rPr>
          <w:rFonts w:ascii="Bookman Old Style" w:hAnsi="Bookman Old Style"/>
          <w:b/>
          <w:bCs/>
          <w:color w:val="FF0000"/>
        </w:rPr>
        <w:t>art. 1,</w:t>
      </w:r>
      <w:r w:rsidR="00C314BB" w:rsidRPr="00950095">
        <w:rPr>
          <w:rFonts w:ascii="Bookman Old Style" w:hAnsi="Bookman Old Style"/>
          <w:b/>
          <w:bCs/>
          <w:color w:val="FF0000"/>
        </w:rPr>
        <w:t xml:space="preserve"> </w:t>
      </w:r>
      <w:r w:rsidR="00E45D0A" w:rsidRPr="00950095">
        <w:rPr>
          <w:rFonts w:ascii="Bookman Old Style" w:hAnsi="Bookman Old Style"/>
          <w:b/>
          <w:bCs/>
          <w:color w:val="FF0000"/>
        </w:rPr>
        <w:t>comm</w:t>
      </w:r>
      <w:r w:rsidR="00C07C02" w:rsidRPr="00950095">
        <w:rPr>
          <w:rFonts w:ascii="Bookman Old Style" w:hAnsi="Bookman Old Style"/>
          <w:b/>
          <w:bCs/>
          <w:color w:val="FF0000"/>
        </w:rPr>
        <w:t>i</w:t>
      </w:r>
      <w:r w:rsidR="008721D4" w:rsidRPr="00950095">
        <w:rPr>
          <w:rFonts w:ascii="Bookman Old Style" w:hAnsi="Bookman Old Style"/>
          <w:b/>
          <w:bCs/>
          <w:color w:val="FF0000"/>
        </w:rPr>
        <w:t xml:space="preserve"> 992-994</w:t>
      </w:r>
      <w:r w:rsidRPr="00950095">
        <w:rPr>
          <w:rFonts w:ascii="Bookman Old Style" w:hAnsi="Bookman Old Style"/>
          <w:b/>
          <w:bCs/>
          <w:color w:val="FF0000"/>
        </w:rPr>
        <w:t>)</w:t>
      </w:r>
    </w:p>
    <w:p w:rsidR="00207FAA" w:rsidRPr="00E3456B" w:rsidRDefault="00732F56" w:rsidP="00207FAA">
      <w:pPr>
        <w:pStyle w:val="a6"/>
        <w:shd w:val="clear" w:color="auto" w:fill="FFFFFF"/>
        <w:spacing w:before="0" w:beforeAutospacing="0" w:after="0" w:afterAutospacing="0"/>
        <w:jc w:val="both"/>
        <w:rPr>
          <w:rFonts w:ascii="Bookman Old Style" w:hAnsi="Bookman Old Style"/>
          <w:b/>
          <w:bCs/>
          <w:color w:val="000000"/>
          <w:sz w:val="22"/>
          <w:szCs w:val="22"/>
        </w:rPr>
      </w:pPr>
      <w:r w:rsidRPr="00E3456B">
        <w:rPr>
          <w:rFonts w:ascii="Bookman Old Style" w:hAnsi="Bookman Old Style"/>
          <w:color w:val="000000"/>
          <w:sz w:val="22"/>
          <w:szCs w:val="22"/>
        </w:rPr>
        <w:t>I</w:t>
      </w:r>
      <w:r w:rsidR="00207FAA" w:rsidRPr="00E3456B">
        <w:rPr>
          <w:rFonts w:ascii="Bookman Old Style" w:hAnsi="Bookman Old Style"/>
          <w:color w:val="000000"/>
          <w:sz w:val="22"/>
          <w:szCs w:val="22"/>
        </w:rPr>
        <w:t xml:space="preserve">n deroga alle norme </w:t>
      </w:r>
      <w:r w:rsidRPr="00E3456B">
        <w:rPr>
          <w:rFonts w:ascii="Bookman Old Style" w:hAnsi="Bookman Old Style"/>
          <w:color w:val="000000"/>
          <w:sz w:val="22"/>
          <w:szCs w:val="22"/>
        </w:rPr>
        <w:t xml:space="preserve">del TUEL che disciplinano la </w:t>
      </w:r>
      <w:r w:rsidR="00207FAA" w:rsidRPr="00E3456B">
        <w:rPr>
          <w:rFonts w:ascii="Bookman Old Style" w:hAnsi="Bookman Old Style"/>
          <w:color w:val="000000"/>
          <w:sz w:val="22"/>
          <w:szCs w:val="22"/>
        </w:rPr>
        <w:t xml:space="preserve">procedura di riequilibrio finanziario pluriennale </w:t>
      </w:r>
      <w:r w:rsidRPr="00E3456B">
        <w:rPr>
          <w:rFonts w:ascii="Bookman Old Style" w:hAnsi="Bookman Old Style"/>
          <w:color w:val="000000"/>
          <w:sz w:val="22"/>
          <w:szCs w:val="22"/>
        </w:rPr>
        <w:t>(artt.</w:t>
      </w:r>
      <w:r w:rsidR="00207FAA" w:rsidRPr="00E3456B">
        <w:rPr>
          <w:rFonts w:ascii="Bookman Old Style" w:hAnsi="Bookman Old Style"/>
          <w:color w:val="000000"/>
          <w:sz w:val="22"/>
          <w:szCs w:val="22"/>
        </w:rPr>
        <w:t>243</w:t>
      </w:r>
      <w:r w:rsidR="00207FAA" w:rsidRPr="00E3456B">
        <w:rPr>
          <w:rFonts w:ascii="Bookman Old Style" w:hAnsi="Bookman Old Style"/>
          <w:i/>
          <w:iCs/>
          <w:color w:val="000000"/>
          <w:sz w:val="22"/>
          <w:szCs w:val="22"/>
        </w:rPr>
        <w:t>-bis</w:t>
      </w:r>
      <w:r w:rsidR="00207FAA" w:rsidRPr="00E3456B">
        <w:rPr>
          <w:rFonts w:ascii="Bookman Old Style" w:hAnsi="Bookman Old Style"/>
          <w:color w:val="000000"/>
          <w:sz w:val="22"/>
          <w:szCs w:val="22"/>
        </w:rPr>
        <w:t xml:space="preserve"> e seguenti </w:t>
      </w:r>
      <w:r w:rsidRPr="00E3456B">
        <w:rPr>
          <w:rFonts w:ascii="Bookman Old Style" w:hAnsi="Bookman Old Style"/>
          <w:color w:val="000000"/>
          <w:sz w:val="22"/>
          <w:szCs w:val="22"/>
        </w:rPr>
        <w:t>TUEL)</w:t>
      </w:r>
      <w:r w:rsidR="00207FAA" w:rsidRPr="00E3456B">
        <w:rPr>
          <w:rFonts w:ascii="Bookman Old Style" w:hAnsi="Bookman Old Style"/>
          <w:color w:val="000000"/>
          <w:sz w:val="22"/>
          <w:szCs w:val="22"/>
        </w:rPr>
        <w:t xml:space="preserve">, </w:t>
      </w:r>
      <w:r w:rsidR="00207FAA" w:rsidRPr="00E3456B">
        <w:rPr>
          <w:rFonts w:ascii="Bookman Old Style" w:hAnsi="Bookman Old Style"/>
          <w:b/>
          <w:bCs/>
          <w:color w:val="000000"/>
          <w:sz w:val="22"/>
          <w:szCs w:val="22"/>
        </w:rPr>
        <w:t>gli enti locali che hanno proceduto all'approvazione del Piano di riequilibrio finanziario pluriennale prima della dichiarazione dello stato di emergenza epidemiologica da COVID-19</w:t>
      </w:r>
      <w:r w:rsidR="00207FAA" w:rsidRPr="00E3456B">
        <w:rPr>
          <w:rFonts w:ascii="Bookman Old Style" w:hAnsi="Bookman Old Style"/>
          <w:color w:val="000000"/>
          <w:sz w:val="22"/>
          <w:szCs w:val="22"/>
        </w:rPr>
        <w:t xml:space="preserve"> e per i quali, alla data di entrata in vigore della legge</w:t>
      </w:r>
      <w:r w:rsidRPr="00E3456B">
        <w:rPr>
          <w:rFonts w:ascii="Bookman Old Style" w:hAnsi="Bookman Old Style"/>
          <w:color w:val="000000"/>
          <w:sz w:val="22"/>
          <w:szCs w:val="22"/>
        </w:rPr>
        <w:t xml:space="preserve"> di bilancio</w:t>
      </w:r>
      <w:r w:rsidR="00207FAA" w:rsidRPr="00E3456B">
        <w:rPr>
          <w:rFonts w:ascii="Bookman Old Style" w:hAnsi="Bookman Old Style"/>
          <w:color w:val="000000"/>
          <w:sz w:val="22"/>
          <w:szCs w:val="22"/>
        </w:rPr>
        <w:t xml:space="preserve">, non si è concluso  l'iter di approvazione di </w:t>
      </w:r>
      <w:r w:rsidRPr="00E3456B">
        <w:rPr>
          <w:rFonts w:ascii="Bookman Old Style" w:hAnsi="Bookman Old Style"/>
          <w:color w:val="000000"/>
          <w:sz w:val="22"/>
          <w:szCs w:val="22"/>
        </w:rPr>
        <w:t xml:space="preserve">(art. </w:t>
      </w:r>
      <w:r w:rsidR="00207FAA" w:rsidRPr="00E3456B">
        <w:rPr>
          <w:rFonts w:ascii="Bookman Old Style" w:hAnsi="Bookman Old Style"/>
          <w:color w:val="000000"/>
          <w:sz w:val="22"/>
          <w:szCs w:val="22"/>
        </w:rPr>
        <w:t>243</w:t>
      </w:r>
      <w:r w:rsidR="00207FAA" w:rsidRPr="00E3456B">
        <w:rPr>
          <w:rFonts w:ascii="Bookman Old Style" w:hAnsi="Bookman Old Style"/>
          <w:i/>
          <w:iCs/>
          <w:color w:val="000000"/>
          <w:sz w:val="22"/>
          <w:szCs w:val="22"/>
        </w:rPr>
        <w:t>-quater</w:t>
      </w:r>
      <w:r w:rsidR="00207FAA" w:rsidRPr="00E3456B">
        <w:rPr>
          <w:rFonts w:ascii="Bookman Old Style" w:hAnsi="Bookman Old Style"/>
          <w:color w:val="000000"/>
          <w:sz w:val="22"/>
          <w:szCs w:val="22"/>
        </w:rPr>
        <w:t xml:space="preserve">, </w:t>
      </w:r>
      <w:r w:rsidRPr="00E3456B">
        <w:rPr>
          <w:rFonts w:ascii="Bookman Old Style" w:hAnsi="Bookman Old Style"/>
          <w:color w:val="000000"/>
          <w:sz w:val="22"/>
          <w:szCs w:val="22"/>
        </w:rPr>
        <w:t xml:space="preserve">co. </w:t>
      </w:r>
      <w:r w:rsidR="00207FAA" w:rsidRPr="00E3456B">
        <w:rPr>
          <w:rFonts w:ascii="Bookman Old Style" w:hAnsi="Bookman Old Style"/>
          <w:color w:val="000000"/>
          <w:sz w:val="22"/>
          <w:szCs w:val="22"/>
        </w:rPr>
        <w:t xml:space="preserve">3, o </w:t>
      </w:r>
      <w:r w:rsidRPr="00E3456B">
        <w:rPr>
          <w:rFonts w:ascii="Bookman Old Style" w:hAnsi="Bookman Old Style"/>
          <w:color w:val="000000"/>
          <w:sz w:val="22"/>
          <w:szCs w:val="22"/>
        </w:rPr>
        <w:t xml:space="preserve">art. </w:t>
      </w:r>
      <w:r w:rsidR="00207FAA" w:rsidRPr="00E3456B">
        <w:rPr>
          <w:rFonts w:ascii="Bookman Old Style" w:hAnsi="Bookman Old Style"/>
          <w:color w:val="000000"/>
          <w:sz w:val="22"/>
          <w:szCs w:val="22"/>
        </w:rPr>
        <w:t>243</w:t>
      </w:r>
      <w:r w:rsidR="00207FAA" w:rsidRPr="00E3456B">
        <w:rPr>
          <w:rFonts w:ascii="Bookman Old Style" w:hAnsi="Bookman Old Style"/>
          <w:i/>
          <w:iCs/>
          <w:color w:val="000000"/>
          <w:sz w:val="22"/>
          <w:szCs w:val="22"/>
        </w:rPr>
        <w:t>-quater</w:t>
      </w:r>
      <w:r w:rsidR="00207FAA" w:rsidRPr="00E3456B">
        <w:rPr>
          <w:rFonts w:ascii="Bookman Old Style" w:hAnsi="Bookman Old Style"/>
          <w:color w:val="000000"/>
          <w:sz w:val="22"/>
          <w:szCs w:val="22"/>
        </w:rPr>
        <w:t xml:space="preserve">, </w:t>
      </w:r>
      <w:r w:rsidRPr="00E3456B">
        <w:rPr>
          <w:rFonts w:ascii="Bookman Old Style" w:hAnsi="Bookman Old Style"/>
          <w:color w:val="000000"/>
          <w:sz w:val="22"/>
          <w:szCs w:val="22"/>
        </w:rPr>
        <w:t>co.</w:t>
      </w:r>
      <w:r w:rsidR="00207FAA" w:rsidRPr="00E3456B">
        <w:rPr>
          <w:rFonts w:ascii="Bookman Old Style" w:hAnsi="Bookman Old Style"/>
          <w:color w:val="000000"/>
          <w:sz w:val="22"/>
          <w:szCs w:val="22"/>
        </w:rPr>
        <w:t xml:space="preserve">5, </w:t>
      </w:r>
      <w:r w:rsidR="00207FAA" w:rsidRPr="00E3456B">
        <w:rPr>
          <w:rFonts w:ascii="Bookman Old Style" w:hAnsi="Bookman Old Style"/>
          <w:b/>
          <w:bCs/>
          <w:color w:val="000000"/>
          <w:sz w:val="22"/>
          <w:szCs w:val="22"/>
        </w:rPr>
        <w:t>possono comunicare, entro i successivi trenta giorni da tale data</w:t>
      </w:r>
      <w:r w:rsidRPr="00E3456B">
        <w:rPr>
          <w:rFonts w:ascii="Bookman Old Style" w:hAnsi="Bookman Old Style"/>
          <w:b/>
          <w:bCs/>
          <w:color w:val="000000"/>
          <w:sz w:val="22"/>
          <w:szCs w:val="22"/>
        </w:rPr>
        <w:t xml:space="preserve"> (quindi entro il 30 gennaio 2022)</w:t>
      </w:r>
      <w:r w:rsidR="00207FAA" w:rsidRPr="00E3456B">
        <w:rPr>
          <w:rFonts w:ascii="Bookman Old Style" w:hAnsi="Bookman Old Style"/>
          <w:b/>
          <w:bCs/>
          <w:color w:val="000000"/>
          <w:sz w:val="22"/>
          <w:szCs w:val="22"/>
        </w:rPr>
        <w:t xml:space="preserve">, la </w:t>
      </w:r>
      <w:bookmarkStart w:id="1" w:name="_Hlk91061302"/>
      <w:r w:rsidR="00207FAA" w:rsidRPr="00E3456B">
        <w:rPr>
          <w:rFonts w:ascii="Bookman Old Style" w:hAnsi="Bookman Old Style"/>
          <w:b/>
          <w:bCs/>
          <w:color w:val="000000"/>
          <w:sz w:val="22"/>
          <w:szCs w:val="22"/>
        </w:rPr>
        <w:t xml:space="preserve">facoltà di rimodulazione del Piano </w:t>
      </w:r>
      <w:r w:rsidRPr="00E3456B">
        <w:rPr>
          <w:rFonts w:ascii="Bookman Old Style" w:hAnsi="Bookman Old Style"/>
          <w:b/>
          <w:bCs/>
          <w:color w:val="000000"/>
          <w:sz w:val="22"/>
          <w:szCs w:val="22"/>
        </w:rPr>
        <w:t>stesso</w:t>
      </w:r>
      <w:r w:rsidR="00207FAA" w:rsidRPr="00E3456B">
        <w:rPr>
          <w:rFonts w:ascii="Bookman Old Style" w:hAnsi="Bookman Old Style"/>
          <w:b/>
          <w:bCs/>
          <w:color w:val="000000"/>
          <w:sz w:val="22"/>
          <w:szCs w:val="22"/>
        </w:rPr>
        <w:t>.</w:t>
      </w:r>
    </w:p>
    <w:bookmarkEnd w:id="1"/>
    <w:p w:rsidR="00207FAA" w:rsidRPr="000A4E63" w:rsidRDefault="00207FAA" w:rsidP="00207FAA">
      <w:pPr>
        <w:pStyle w:val="a6"/>
        <w:shd w:val="clear" w:color="auto" w:fill="FFFFFF"/>
        <w:spacing w:before="0" w:beforeAutospacing="0" w:after="0" w:afterAutospacing="0"/>
        <w:jc w:val="both"/>
        <w:rPr>
          <w:rFonts w:ascii="Bookman Old Style" w:hAnsi="Bookman Old Style"/>
          <w:color w:val="000000"/>
          <w:sz w:val="22"/>
          <w:szCs w:val="22"/>
        </w:rPr>
      </w:pPr>
      <w:r w:rsidRPr="00E3456B">
        <w:rPr>
          <w:rFonts w:ascii="Bookman Old Style" w:hAnsi="Bookman Old Style"/>
          <w:color w:val="000000"/>
          <w:sz w:val="22"/>
          <w:szCs w:val="22"/>
        </w:rPr>
        <w:t>La relativa comunicazione è effettuata alla Sezione regionale di controllo della Corte dei Conti e alla Commissione per la finanza e gli organici degli enti locali (</w:t>
      </w:r>
      <w:proofErr w:type="spellStart"/>
      <w:r w:rsidR="00732F56" w:rsidRPr="00E3456B">
        <w:rPr>
          <w:rFonts w:ascii="Bookman Old Style" w:hAnsi="Bookman Old Style"/>
          <w:color w:val="000000"/>
          <w:sz w:val="22"/>
          <w:szCs w:val="22"/>
        </w:rPr>
        <w:t>Cosfel</w:t>
      </w:r>
      <w:proofErr w:type="spellEnd"/>
      <w:r w:rsidR="00732F56" w:rsidRPr="00E3456B">
        <w:rPr>
          <w:rFonts w:ascii="Bookman Old Style" w:hAnsi="Bookman Old Style"/>
          <w:color w:val="000000"/>
          <w:sz w:val="22"/>
          <w:szCs w:val="22"/>
        </w:rPr>
        <w:t xml:space="preserve">, </w:t>
      </w:r>
      <w:r w:rsidRPr="00E3456B">
        <w:rPr>
          <w:rFonts w:ascii="Bookman Old Style" w:hAnsi="Bookman Old Style"/>
          <w:color w:val="000000"/>
          <w:sz w:val="22"/>
          <w:szCs w:val="22"/>
        </w:rPr>
        <w:t>art. 155 TUEL). Nel caso in cui l’ente locale abbia già impugnato la delibera di diniego del Piano, tale comunicazione va trasmessa anche alle Sezioni riunite della Corte dei Conti. Entro i successivi 120 giorni dalla suddetta comunicazione gli enti locali presentano una proposta di rimodulazione del Piano di riequilibrio finanziario pluriennale con la rideterminazione degli obiettivi ed eventualmente della durata.</w:t>
      </w:r>
      <w:r w:rsidRPr="000A4E63">
        <w:rPr>
          <w:rFonts w:ascii="Bookman Old Style" w:hAnsi="Bookman Old Style"/>
          <w:color w:val="000000"/>
          <w:sz w:val="22"/>
          <w:szCs w:val="22"/>
        </w:rPr>
        <w:t xml:space="preserve"> </w:t>
      </w:r>
    </w:p>
    <w:p w:rsidR="00F13DB1" w:rsidRPr="000A4E63" w:rsidRDefault="00F13DB1" w:rsidP="00207FAA">
      <w:pPr>
        <w:pStyle w:val="a6"/>
        <w:shd w:val="clear" w:color="auto" w:fill="FFFFFF"/>
        <w:spacing w:before="150" w:beforeAutospacing="0" w:after="30" w:afterAutospacing="0"/>
        <w:jc w:val="both"/>
        <w:rPr>
          <w:rFonts w:ascii="Bookman Old Style" w:hAnsi="Bookman Old Style"/>
          <w:color w:val="000000"/>
          <w:sz w:val="22"/>
          <w:szCs w:val="22"/>
        </w:rPr>
      </w:pPr>
    </w:p>
    <w:p w:rsidR="00797885" w:rsidRDefault="00797885" w:rsidP="00797885">
      <w:pPr>
        <w:pStyle w:val="art"/>
        <w:numPr>
          <w:ilvl w:val="0"/>
          <w:numId w:val="20"/>
        </w:numPr>
        <w:shd w:val="clear" w:color="auto" w:fill="FFFFFF"/>
        <w:spacing w:before="0" w:beforeAutospacing="0" w:after="0" w:afterAutospacing="0"/>
        <w:rPr>
          <w:rFonts w:ascii="Bookman Old Style" w:hAnsi="Bookman Old Style"/>
          <w:b/>
          <w:bCs/>
          <w:color w:val="002060"/>
          <w:sz w:val="22"/>
          <w:szCs w:val="22"/>
          <w:lang w:eastAsia="en-US"/>
        </w:rPr>
      </w:pPr>
      <w:r>
        <w:rPr>
          <w:rFonts w:ascii="Bookman Old Style" w:hAnsi="Bookman Old Style"/>
          <w:b/>
          <w:bCs/>
          <w:color w:val="002060"/>
          <w:sz w:val="22"/>
          <w:szCs w:val="22"/>
          <w:lang w:eastAsia="en-US"/>
        </w:rPr>
        <w:t>Misure per la proroga dei contratti di consulenza e collaborazione in essere con soggetti esterni alla pubblica amministrazione (</w:t>
      </w:r>
      <w:r w:rsidR="00E63341">
        <w:rPr>
          <w:rFonts w:ascii="Bookman Old Style" w:hAnsi="Bookman Old Style"/>
          <w:b/>
          <w:bCs/>
          <w:color w:val="002060"/>
          <w:sz w:val="22"/>
          <w:szCs w:val="22"/>
          <w:lang w:eastAsia="en-US"/>
        </w:rPr>
        <w:t xml:space="preserve">art. 1, </w:t>
      </w:r>
      <w:r w:rsidR="007F3083">
        <w:rPr>
          <w:rFonts w:ascii="Bookman Old Style" w:hAnsi="Bookman Old Style"/>
          <w:b/>
          <w:bCs/>
          <w:color w:val="002060"/>
          <w:sz w:val="22"/>
          <w:szCs w:val="22"/>
          <w:lang w:eastAsia="en-US"/>
        </w:rPr>
        <w:t>comma 995</w:t>
      </w:r>
      <w:r>
        <w:rPr>
          <w:rFonts w:ascii="Bookman Old Style" w:hAnsi="Bookman Old Style"/>
          <w:b/>
          <w:bCs/>
          <w:color w:val="002060"/>
          <w:sz w:val="22"/>
          <w:szCs w:val="22"/>
          <w:lang w:eastAsia="en-US"/>
        </w:rPr>
        <w:t>)</w:t>
      </w:r>
    </w:p>
    <w:p w:rsidR="00797885" w:rsidRDefault="00732F56" w:rsidP="00797885">
      <w:pPr>
        <w:pStyle w:val="int"/>
        <w:shd w:val="clear" w:color="auto" w:fill="FFFFFF"/>
        <w:spacing w:before="0" w:beforeAutospacing="0" w:after="0" w:afterAutospacing="0"/>
        <w:jc w:val="both"/>
        <w:rPr>
          <w:rFonts w:ascii="Bookman Old Style" w:eastAsiaTheme="minorHAnsi" w:hAnsi="Bookman Old Style"/>
          <w:color w:val="000000"/>
          <w:sz w:val="22"/>
          <w:szCs w:val="22"/>
        </w:rPr>
      </w:pPr>
      <w:r>
        <w:rPr>
          <w:rFonts w:ascii="Bookman Old Style" w:hAnsi="Bookman Old Style"/>
          <w:color w:val="000000"/>
          <w:sz w:val="22"/>
          <w:szCs w:val="22"/>
        </w:rPr>
        <w:t xml:space="preserve">La </w:t>
      </w:r>
      <w:r w:rsidR="00797885">
        <w:rPr>
          <w:rFonts w:ascii="Bookman Old Style" w:hAnsi="Bookman Old Style"/>
          <w:color w:val="000000"/>
          <w:sz w:val="22"/>
          <w:szCs w:val="22"/>
        </w:rPr>
        <w:t>norma consente alle Pubbliche Amministrazioni coinvolte a vario titolo nelle attività di coordinamento, gestione, attuazione, monitoraggio e controllo del Piano Nazionale di Ripresa e Resilienza (</w:t>
      </w:r>
      <w:proofErr w:type="spellStart"/>
      <w:r w:rsidR="00797885">
        <w:rPr>
          <w:rFonts w:ascii="Bookman Old Style" w:hAnsi="Bookman Old Style"/>
          <w:color w:val="000000"/>
          <w:sz w:val="22"/>
          <w:szCs w:val="22"/>
        </w:rPr>
        <w:t>Pnrr</w:t>
      </w:r>
      <w:proofErr w:type="spellEnd"/>
      <w:r w:rsidR="00797885">
        <w:rPr>
          <w:rFonts w:ascii="Bookman Old Style" w:hAnsi="Bookman Old Style"/>
          <w:color w:val="000000"/>
          <w:sz w:val="22"/>
          <w:szCs w:val="22"/>
        </w:rPr>
        <w:t xml:space="preserve">), nell'ambito della rispettiva autonomia, di prorogare i contratti di consulenza e collaborazione, di cui all'articolo 7, comma 6, del </w:t>
      </w:r>
      <w:proofErr w:type="spellStart"/>
      <w:r w:rsidR="00797885">
        <w:rPr>
          <w:rFonts w:ascii="Bookman Old Style" w:hAnsi="Bookman Old Style"/>
          <w:color w:val="000000"/>
          <w:sz w:val="22"/>
          <w:szCs w:val="22"/>
        </w:rPr>
        <w:t>D.Lgs.</w:t>
      </w:r>
      <w:proofErr w:type="spellEnd"/>
      <w:r w:rsidR="00797885">
        <w:rPr>
          <w:rFonts w:ascii="Bookman Old Style" w:hAnsi="Bookman Old Style"/>
          <w:color w:val="000000"/>
          <w:sz w:val="22"/>
          <w:szCs w:val="22"/>
        </w:rPr>
        <w:t xml:space="preserve"> n. 165/2001, con soggetti fisici esterni alla pubblica amministrazione fino al 31 dicembre 2026, previa valutazione della copertura economica a carico del bilancio dell'amministrazione interessata.</w:t>
      </w:r>
    </w:p>
    <w:p w:rsidR="00F13DB1" w:rsidRPr="000A4E63" w:rsidRDefault="00F13DB1" w:rsidP="00F13DB1">
      <w:pPr>
        <w:widowControl w:val="0"/>
        <w:autoSpaceDE w:val="0"/>
        <w:autoSpaceDN w:val="0"/>
        <w:spacing w:before="10"/>
        <w:ind w:left="3" w:right="19"/>
        <w:jc w:val="center"/>
        <w:rPr>
          <w:rFonts w:ascii="Bookman Old Style" w:eastAsia="Times New Roman" w:hAnsi="Bookman Old Style" w:cs="Times New Roman"/>
          <w:b/>
          <w:bCs/>
          <w:color w:val="002060"/>
          <w:sz w:val="22"/>
          <w:szCs w:val="22"/>
        </w:rPr>
      </w:pPr>
    </w:p>
    <w:p w:rsidR="00145E57" w:rsidRPr="000A4E63" w:rsidRDefault="00145E57" w:rsidP="00145E57">
      <w:pPr>
        <w:pStyle w:val="Corpotesto"/>
        <w:spacing w:before="1" w:line="230" w:lineRule="auto"/>
        <w:ind w:left="197" w:right="161" w:firstLine="1"/>
        <w:rPr>
          <w:rFonts w:ascii="Bookman Old Style" w:hAnsi="Bookman Old Style"/>
          <w:sz w:val="22"/>
          <w:szCs w:val="22"/>
        </w:rPr>
      </w:pPr>
    </w:p>
    <w:p w:rsidR="003D2070" w:rsidRDefault="003D2070" w:rsidP="00F150AA">
      <w:pPr>
        <w:spacing w:line="252" w:lineRule="auto"/>
        <w:contextualSpacing/>
        <w:rPr>
          <w:rFonts w:ascii="Bookman Old Style" w:hAnsi="Bookman Old Style"/>
          <w:b/>
          <w:bCs/>
          <w:color w:val="002060"/>
          <w:sz w:val="22"/>
          <w:szCs w:val="22"/>
        </w:rPr>
      </w:pPr>
    </w:p>
    <w:bookmarkEnd w:id="0"/>
    <w:p w:rsidR="003D2070" w:rsidRDefault="003D2070" w:rsidP="00F150AA">
      <w:pPr>
        <w:spacing w:line="252" w:lineRule="auto"/>
        <w:contextualSpacing/>
        <w:rPr>
          <w:rFonts w:ascii="Bookman Old Style" w:hAnsi="Bookman Old Style"/>
          <w:b/>
          <w:bCs/>
          <w:color w:val="002060"/>
          <w:sz w:val="22"/>
          <w:szCs w:val="22"/>
        </w:rPr>
      </w:pPr>
    </w:p>
    <w:sectPr w:rsidR="003D2070">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672" w:rsidRDefault="000E7672" w:rsidP="009245A9">
      <w:r>
        <w:separator/>
      </w:r>
    </w:p>
  </w:endnote>
  <w:endnote w:type="continuationSeparator" w:id="0">
    <w:p w:rsidR="000E7672" w:rsidRDefault="000E7672" w:rsidP="0092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116721"/>
      <w:docPartObj>
        <w:docPartGallery w:val="Page Numbers (Bottom of Page)"/>
        <w:docPartUnique/>
      </w:docPartObj>
    </w:sdtPr>
    <w:sdtEndPr/>
    <w:sdtContent>
      <w:p w:rsidR="009245A9" w:rsidRDefault="009245A9">
        <w:pPr>
          <w:pStyle w:val="Pidipagina"/>
          <w:jc w:val="center"/>
        </w:pPr>
        <w:r>
          <w:fldChar w:fldCharType="begin"/>
        </w:r>
        <w:r>
          <w:instrText>PAGE   \* MERGEFORMAT</w:instrText>
        </w:r>
        <w:r>
          <w:fldChar w:fldCharType="separate"/>
        </w:r>
        <w:r w:rsidR="00C2354E">
          <w:rPr>
            <w:noProof/>
          </w:rPr>
          <w:t>2</w:t>
        </w:r>
        <w:r>
          <w:fldChar w:fldCharType="end"/>
        </w:r>
      </w:p>
    </w:sdtContent>
  </w:sdt>
  <w:p w:rsidR="009245A9" w:rsidRDefault="009245A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672" w:rsidRDefault="000E7672" w:rsidP="009245A9">
      <w:r>
        <w:separator/>
      </w:r>
    </w:p>
  </w:footnote>
  <w:footnote w:type="continuationSeparator" w:id="0">
    <w:p w:rsidR="000E7672" w:rsidRDefault="000E7672" w:rsidP="009245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DDE"/>
    <w:multiLevelType w:val="hybridMultilevel"/>
    <w:tmpl w:val="792E5DF2"/>
    <w:lvl w:ilvl="0" w:tplc="A11E70A8">
      <w:start w:val="1"/>
      <w:numFmt w:val="lowerLetter"/>
      <w:lvlText w:val="%1)"/>
      <w:lvlJc w:val="left"/>
      <w:pPr>
        <w:ind w:left="877" w:hanging="414"/>
      </w:pPr>
      <w:rPr>
        <w:rFonts w:ascii="Times New Roman" w:eastAsia="Times New Roman" w:hAnsi="Times New Roman" w:cs="Times New Roman" w:hint="default"/>
        <w:spacing w:val="-1"/>
        <w:w w:val="92"/>
        <w:sz w:val="23"/>
        <w:szCs w:val="23"/>
        <w:lang w:val="it-IT" w:eastAsia="en-US" w:bidi="ar-SA"/>
      </w:rPr>
    </w:lvl>
    <w:lvl w:ilvl="1" w:tplc="70526C0A">
      <w:numFmt w:val="bullet"/>
      <w:lvlText w:val="•"/>
      <w:lvlJc w:val="left"/>
      <w:pPr>
        <w:ind w:left="1790" w:hanging="414"/>
      </w:pPr>
      <w:rPr>
        <w:rFonts w:hint="default"/>
        <w:lang w:val="it-IT" w:eastAsia="en-US" w:bidi="ar-SA"/>
      </w:rPr>
    </w:lvl>
    <w:lvl w:ilvl="2" w:tplc="3B9420A2">
      <w:numFmt w:val="bullet"/>
      <w:lvlText w:val="•"/>
      <w:lvlJc w:val="left"/>
      <w:pPr>
        <w:ind w:left="2700" w:hanging="414"/>
      </w:pPr>
      <w:rPr>
        <w:rFonts w:hint="default"/>
        <w:lang w:val="it-IT" w:eastAsia="en-US" w:bidi="ar-SA"/>
      </w:rPr>
    </w:lvl>
    <w:lvl w:ilvl="3" w:tplc="60841A52">
      <w:numFmt w:val="bullet"/>
      <w:lvlText w:val="•"/>
      <w:lvlJc w:val="left"/>
      <w:pPr>
        <w:ind w:left="3610" w:hanging="414"/>
      </w:pPr>
      <w:rPr>
        <w:rFonts w:hint="default"/>
        <w:lang w:val="it-IT" w:eastAsia="en-US" w:bidi="ar-SA"/>
      </w:rPr>
    </w:lvl>
    <w:lvl w:ilvl="4" w:tplc="297AB2C8">
      <w:numFmt w:val="bullet"/>
      <w:lvlText w:val="•"/>
      <w:lvlJc w:val="left"/>
      <w:pPr>
        <w:ind w:left="4521" w:hanging="414"/>
      </w:pPr>
      <w:rPr>
        <w:rFonts w:hint="default"/>
        <w:lang w:val="it-IT" w:eastAsia="en-US" w:bidi="ar-SA"/>
      </w:rPr>
    </w:lvl>
    <w:lvl w:ilvl="5" w:tplc="2528F118">
      <w:numFmt w:val="bullet"/>
      <w:lvlText w:val="•"/>
      <w:lvlJc w:val="left"/>
      <w:pPr>
        <w:ind w:left="5431" w:hanging="414"/>
      </w:pPr>
      <w:rPr>
        <w:rFonts w:hint="default"/>
        <w:lang w:val="it-IT" w:eastAsia="en-US" w:bidi="ar-SA"/>
      </w:rPr>
    </w:lvl>
    <w:lvl w:ilvl="6" w:tplc="E4869D44">
      <w:numFmt w:val="bullet"/>
      <w:lvlText w:val="•"/>
      <w:lvlJc w:val="left"/>
      <w:pPr>
        <w:ind w:left="6341" w:hanging="414"/>
      </w:pPr>
      <w:rPr>
        <w:rFonts w:hint="default"/>
        <w:lang w:val="it-IT" w:eastAsia="en-US" w:bidi="ar-SA"/>
      </w:rPr>
    </w:lvl>
    <w:lvl w:ilvl="7" w:tplc="DD465F36">
      <w:numFmt w:val="bullet"/>
      <w:lvlText w:val="•"/>
      <w:lvlJc w:val="left"/>
      <w:pPr>
        <w:ind w:left="7252" w:hanging="414"/>
      </w:pPr>
      <w:rPr>
        <w:rFonts w:hint="default"/>
        <w:lang w:val="it-IT" w:eastAsia="en-US" w:bidi="ar-SA"/>
      </w:rPr>
    </w:lvl>
    <w:lvl w:ilvl="8" w:tplc="305A4C3E">
      <w:numFmt w:val="bullet"/>
      <w:lvlText w:val="•"/>
      <w:lvlJc w:val="left"/>
      <w:pPr>
        <w:ind w:left="8162" w:hanging="414"/>
      </w:pPr>
      <w:rPr>
        <w:rFonts w:hint="default"/>
        <w:lang w:val="it-IT" w:eastAsia="en-US" w:bidi="ar-SA"/>
      </w:rPr>
    </w:lvl>
  </w:abstractNum>
  <w:abstractNum w:abstractNumId="1">
    <w:nsid w:val="0A495674"/>
    <w:multiLevelType w:val="hybridMultilevel"/>
    <w:tmpl w:val="DEEC861A"/>
    <w:lvl w:ilvl="0" w:tplc="14A4349E">
      <w:start w:val="1"/>
      <w:numFmt w:val="lowerLetter"/>
      <w:lvlText w:val="%1)"/>
      <w:lvlJc w:val="left"/>
      <w:pPr>
        <w:ind w:left="464" w:hanging="434"/>
      </w:pPr>
      <w:rPr>
        <w:rFonts w:ascii="Times New Roman" w:eastAsia="Times New Roman" w:hAnsi="Times New Roman" w:cs="Times New Roman" w:hint="default"/>
        <w:spacing w:val="-1"/>
        <w:w w:val="101"/>
        <w:sz w:val="23"/>
        <w:szCs w:val="23"/>
        <w:lang w:val="it-IT" w:eastAsia="en-US" w:bidi="ar-SA"/>
      </w:rPr>
    </w:lvl>
    <w:lvl w:ilvl="1" w:tplc="FEB89F8C">
      <w:numFmt w:val="bullet"/>
      <w:lvlText w:val="•"/>
      <w:lvlJc w:val="left"/>
      <w:pPr>
        <w:ind w:left="1412" w:hanging="434"/>
      </w:pPr>
      <w:rPr>
        <w:rFonts w:hint="default"/>
        <w:lang w:val="it-IT" w:eastAsia="en-US" w:bidi="ar-SA"/>
      </w:rPr>
    </w:lvl>
    <w:lvl w:ilvl="2" w:tplc="429845BC">
      <w:numFmt w:val="bullet"/>
      <w:lvlText w:val="•"/>
      <w:lvlJc w:val="left"/>
      <w:pPr>
        <w:ind w:left="2364" w:hanging="434"/>
      </w:pPr>
      <w:rPr>
        <w:rFonts w:hint="default"/>
        <w:lang w:val="it-IT" w:eastAsia="en-US" w:bidi="ar-SA"/>
      </w:rPr>
    </w:lvl>
    <w:lvl w:ilvl="3" w:tplc="CFEABAAC">
      <w:numFmt w:val="bullet"/>
      <w:lvlText w:val="•"/>
      <w:lvlJc w:val="left"/>
      <w:pPr>
        <w:ind w:left="3316" w:hanging="434"/>
      </w:pPr>
      <w:rPr>
        <w:rFonts w:hint="default"/>
        <w:lang w:val="it-IT" w:eastAsia="en-US" w:bidi="ar-SA"/>
      </w:rPr>
    </w:lvl>
    <w:lvl w:ilvl="4" w:tplc="E8A251DE">
      <w:numFmt w:val="bullet"/>
      <w:lvlText w:val="•"/>
      <w:lvlJc w:val="left"/>
      <w:pPr>
        <w:ind w:left="4269" w:hanging="434"/>
      </w:pPr>
      <w:rPr>
        <w:rFonts w:hint="default"/>
        <w:lang w:val="it-IT" w:eastAsia="en-US" w:bidi="ar-SA"/>
      </w:rPr>
    </w:lvl>
    <w:lvl w:ilvl="5" w:tplc="17625E92">
      <w:numFmt w:val="bullet"/>
      <w:lvlText w:val="•"/>
      <w:lvlJc w:val="left"/>
      <w:pPr>
        <w:ind w:left="5221" w:hanging="434"/>
      </w:pPr>
      <w:rPr>
        <w:rFonts w:hint="default"/>
        <w:lang w:val="it-IT" w:eastAsia="en-US" w:bidi="ar-SA"/>
      </w:rPr>
    </w:lvl>
    <w:lvl w:ilvl="6" w:tplc="8D7EC01E">
      <w:numFmt w:val="bullet"/>
      <w:lvlText w:val="•"/>
      <w:lvlJc w:val="left"/>
      <w:pPr>
        <w:ind w:left="6173" w:hanging="434"/>
      </w:pPr>
      <w:rPr>
        <w:rFonts w:hint="default"/>
        <w:lang w:val="it-IT" w:eastAsia="en-US" w:bidi="ar-SA"/>
      </w:rPr>
    </w:lvl>
    <w:lvl w:ilvl="7" w:tplc="E7F42154">
      <w:numFmt w:val="bullet"/>
      <w:lvlText w:val="•"/>
      <w:lvlJc w:val="left"/>
      <w:pPr>
        <w:ind w:left="7126" w:hanging="434"/>
      </w:pPr>
      <w:rPr>
        <w:rFonts w:hint="default"/>
        <w:lang w:val="it-IT" w:eastAsia="en-US" w:bidi="ar-SA"/>
      </w:rPr>
    </w:lvl>
    <w:lvl w:ilvl="8" w:tplc="0792C4F0">
      <w:numFmt w:val="bullet"/>
      <w:lvlText w:val="•"/>
      <w:lvlJc w:val="left"/>
      <w:pPr>
        <w:ind w:left="8078" w:hanging="434"/>
      </w:pPr>
      <w:rPr>
        <w:rFonts w:hint="default"/>
        <w:lang w:val="it-IT" w:eastAsia="en-US" w:bidi="ar-SA"/>
      </w:rPr>
    </w:lvl>
  </w:abstractNum>
  <w:abstractNum w:abstractNumId="2">
    <w:nsid w:val="10071F1D"/>
    <w:multiLevelType w:val="hybridMultilevel"/>
    <w:tmpl w:val="9324314A"/>
    <w:lvl w:ilvl="0" w:tplc="0410000F">
      <w:start w:val="1"/>
      <w:numFmt w:val="decimal"/>
      <w:lvlText w:val="%1."/>
      <w:lvlJc w:val="left"/>
      <w:pPr>
        <w:ind w:left="744" w:hanging="360"/>
      </w:pPr>
    </w:lvl>
    <w:lvl w:ilvl="1" w:tplc="04100019" w:tentative="1">
      <w:start w:val="1"/>
      <w:numFmt w:val="lowerLetter"/>
      <w:lvlText w:val="%2."/>
      <w:lvlJc w:val="left"/>
      <w:pPr>
        <w:ind w:left="1464" w:hanging="360"/>
      </w:pPr>
    </w:lvl>
    <w:lvl w:ilvl="2" w:tplc="0410001B" w:tentative="1">
      <w:start w:val="1"/>
      <w:numFmt w:val="lowerRoman"/>
      <w:lvlText w:val="%3."/>
      <w:lvlJc w:val="right"/>
      <w:pPr>
        <w:ind w:left="2184" w:hanging="180"/>
      </w:pPr>
    </w:lvl>
    <w:lvl w:ilvl="3" w:tplc="0410000F" w:tentative="1">
      <w:start w:val="1"/>
      <w:numFmt w:val="decimal"/>
      <w:lvlText w:val="%4."/>
      <w:lvlJc w:val="left"/>
      <w:pPr>
        <w:ind w:left="2904" w:hanging="360"/>
      </w:pPr>
    </w:lvl>
    <w:lvl w:ilvl="4" w:tplc="04100019" w:tentative="1">
      <w:start w:val="1"/>
      <w:numFmt w:val="lowerLetter"/>
      <w:lvlText w:val="%5."/>
      <w:lvlJc w:val="left"/>
      <w:pPr>
        <w:ind w:left="3624" w:hanging="360"/>
      </w:pPr>
    </w:lvl>
    <w:lvl w:ilvl="5" w:tplc="0410001B" w:tentative="1">
      <w:start w:val="1"/>
      <w:numFmt w:val="lowerRoman"/>
      <w:lvlText w:val="%6."/>
      <w:lvlJc w:val="right"/>
      <w:pPr>
        <w:ind w:left="4344" w:hanging="180"/>
      </w:pPr>
    </w:lvl>
    <w:lvl w:ilvl="6" w:tplc="0410000F" w:tentative="1">
      <w:start w:val="1"/>
      <w:numFmt w:val="decimal"/>
      <w:lvlText w:val="%7."/>
      <w:lvlJc w:val="left"/>
      <w:pPr>
        <w:ind w:left="5064" w:hanging="360"/>
      </w:pPr>
    </w:lvl>
    <w:lvl w:ilvl="7" w:tplc="04100019" w:tentative="1">
      <w:start w:val="1"/>
      <w:numFmt w:val="lowerLetter"/>
      <w:lvlText w:val="%8."/>
      <w:lvlJc w:val="left"/>
      <w:pPr>
        <w:ind w:left="5784" w:hanging="360"/>
      </w:pPr>
    </w:lvl>
    <w:lvl w:ilvl="8" w:tplc="0410001B" w:tentative="1">
      <w:start w:val="1"/>
      <w:numFmt w:val="lowerRoman"/>
      <w:lvlText w:val="%9."/>
      <w:lvlJc w:val="right"/>
      <w:pPr>
        <w:ind w:left="6504" w:hanging="180"/>
      </w:pPr>
    </w:lvl>
  </w:abstractNum>
  <w:abstractNum w:abstractNumId="3">
    <w:nsid w:val="1C006DF1"/>
    <w:multiLevelType w:val="hybridMultilevel"/>
    <w:tmpl w:val="26F0141C"/>
    <w:lvl w:ilvl="0" w:tplc="5B58CFA2">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475D4B"/>
    <w:multiLevelType w:val="hybridMultilevel"/>
    <w:tmpl w:val="AB2C4022"/>
    <w:lvl w:ilvl="0" w:tplc="E0A2548C">
      <w:start w:val="1"/>
      <w:numFmt w:val="lowerLetter"/>
      <w:lvlText w:val="%1)"/>
      <w:lvlJc w:val="left"/>
      <w:pPr>
        <w:ind w:left="59" w:hanging="231"/>
      </w:pPr>
      <w:rPr>
        <w:rFonts w:ascii="Times New Roman" w:eastAsia="Times New Roman" w:hAnsi="Times New Roman" w:cs="Times New Roman" w:hint="default"/>
        <w:w w:val="105"/>
        <w:sz w:val="21"/>
        <w:szCs w:val="21"/>
      </w:rPr>
    </w:lvl>
    <w:lvl w:ilvl="1" w:tplc="D5C6A01C">
      <w:numFmt w:val="bullet"/>
      <w:lvlText w:val="•"/>
      <w:lvlJc w:val="left"/>
      <w:pPr>
        <w:ind w:left="1023" w:hanging="231"/>
      </w:pPr>
    </w:lvl>
    <w:lvl w:ilvl="2" w:tplc="EEF6F66A">
      <w:numFmt w:val="bullet"/>
      <w:lvlText w:val="•"/>
      <w:lvlJc w:val="left"/>
      <w:pPr>
        <w:ind w:left="1986" w:hanging="231"/>
      </w:pPr>
    </w:lvl>
    <w:lvl w:ilvl="3" w:tplc="D1183E18">
      <w:numFmt w:val="bullet"/>
      <w:lvlText w:val="•"/>
      <w:lvlJc w:val="left"/>
      <w:pPr>
        <w:ind w:left="2949" w:hanging="231"/>
      </w:pPr>
    </w:lvl>
    <w:lvl w:ilvl="4" w:tplc="B13E1F16">
      <w:numFmt w:val="bullet"/>
      <w:lvlText w:val="•"/>
      <w:lvlJc w:val="left"/>
      <w:pPr>
        <w:ind w:left="3912" w:hanging="231"/>
      </w:pPr>
    </w:lvl>
    <w:lvl w:ilvl="5" w:tplc="E24C13D0">
      <w:numFmt w:val="bullet"/>
      <w:lvlText w:val="•"/>
      <w:lvlJc w:val="left"/>
      <w:pPr>
        <w:ind w:left="4876" w:hanging="231"/>
      </w:pPr>
    </w:lvl>
    <w:lvl w:ilvl="6" w:tplc="7346D586">
      <w:numFmt w:val="bullet"/>
      <w:lvlText w:val="•"/>
      <w:lvlJc w:val="left"/>
      <w:pPr>
        <w:ind w:left="5839" w:hanging="231"/>
      </w:pPr>
    </w:lvl>
    <w:lvl w:ilvl="7" w:tplc="1DE4108E">
      <w:numFmt w:val="bullet"/>
      <w:lvlText w:val="•"/>
      <w:lvlJc w:val="left"/>
      <w:pPr>
        <w:ind w:left="6802" w:hanging="231"/>
      </w:pPr>
    </w:lvl>
    <w:lvl w:ilvl="8" w:tplc="55DE9D90">
      <w:numFmt w:val="bullet"/>
      <w:lvlText w:val="•"/>
      <w:lvlJc w:val="left"/>
      <w:pPr>
        <w:ind w:left="7765" w:hanging="231"/>
      </w:pPr>
    </w:lvl>
  </w:abstractNum>
  <w:abstractNum w:abstractNumId="5">
    <w:nsid w:val="30CE1B3A"/>
    <w:multiLevelType w:val="hybridMultilevel"/>
    <w:tmpl w:val="6A6E7A16"/>
    <w:lvl w:ilvl="0" w:tplc="0410000F">
      <w:start w:val="1"/>
      <w:numFmt w:val="decimal"/>
      <w:lvlText w:val="%1."/>
      <w:lvlJc w:val="left"/>
      <w:pPr>
        <w:ind w:left="723" w:hanging="360"/>
      </w:pPr>
    </w:lvl>
    <w:lvl w:ilvl="1" w:tplc="04100019" w:tentative="1">
      <w:start w:val="1"/>
      <w:numFmt w:val="lowerLetter"/>
      <w:lvlText w:val="%2."/>
      <w:lvlJc w:val="left"/>
      <w:pPr>
        <w:ind w:left="1443" w:hanging="360"/>
      </w:p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abstractNum w:abstractNumId="6">
    <w:nsid w:val="35BE67AD"/>
    <w:multiLevelType w:val="hybridMultilevel"/>
    <w:tmpl w:val="41F47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3AF5F80"/>
    <w:multiLevelType w:val="hybridMultilevel"/>
    <w:tmpl w:val="07E401DC"/>
    <w:lvl w:ilvl="0" w:tplc="94E239CC">
      <w:start w:val="1"/>
      <w:numFmt w:val="bullet"/>
      <w:lvlText w:val=""/>
      <w:lvlJc w:val="left"/>
      <w:pPr>
        <w:ind w:left="720" w:hanging="360"/>
      </w:pPr>
      <w:rPr>
        <w:rFonts w:ascii="Wingdings" w:hAnsi="Wingding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D4655B"/>
    <w:multiLevelType w:val="hybridMultilevel"/>
    <w:tmpl w:val="301E55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C395B22"/>
    <w:multiLevelType w:val="hybridMultilevel"/>
    <w:tmpl w:val="5D68FC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D1C66E0"/>
    <w:multiLevelType w:val="hybridMultilevel"/>
    <w:tmpl w:val="C57E0E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366457"/>
    <w:multiLevelType w:val="hybridMultilevel"/>
    <w:tmpl w:val="774E5020"/>
    <w:lvl w:ilvl="0" w:tplc="2FCAD2A4">
      <w:numFmt w:val="bullet"/>
      <w:lvlText w:val="-"/>
      <w:lvlJc w:val="left"/>
      <w:pPr>
        <w:ind w:left="407" w:hanging="273"/>
      </w:pPr>
      <w:rPr>
        <w:rFonts w:ascii="Times New Roman" w:eastAsia="Times New Roman" w:hAnsi="Times New Roman" w:cs="Times New Roman" w:hint="default"/>
        <w:w w:val="102"/>
        <w:sz w:val="21"/>
        <w:szCs w:val="21"/>
      </w:rPr>
    </w:lvl>
    <w:lvl w:ilvl="1" w:tplc="8C7A858E">
      <w:numFmt w:val="bullet"/>
      <w:lvlText w:val="•"/>
      <w:lvlJc w:val="left"/>
      <w:pPr>
        <w:ind w:left="1294" w:hanging="273"/>
      </w:pPr>
    </w:lvl>
    <w:lvl w:ilvl="2" w:tplc="290E4FCA">
      <w:numFmt w:val="bullet"/>
      <w:lvlText w:val="•"/>
      <w:lvlJc w:val="left"/>
      <w:pPr>
        <w:ind w:left="2188" w:hanging="273"/>
      </w:pPr>
    </w:lvl>
    <w:lvl w:ilvl="3" w:tplc="7D6E4C94">
      <w:numFmt w:val="bullet"/>
      <w:lvlText w:val="•"/>
      <w:lvlJc w:val="left"/>
      <w:pPr>
        <w:ind w:left="3082" w:hanging="273"/>
      </w:pPr>
    </w:lvl>
    <w:lvl w:ilvl="4" w:tplc="34E6BCBA">
      <w:numFmt w:val="bullet"/>
      <w:lvlText w:val="•"/>
      <w:lvlJc w:val="left"/>
      <w:pPr>
        <w:ind w:left="3976" w:hanging="273"/>
      </w:pPr>
    </w:lvl>
    <w:lvl w:ilvl="5" w:tplc="E50EF2E0">
      <w:numFmt w:val="bullet"/>
      <w:lvlText w:val="•"/>
      <w:lvlJc w:val="left"/>
      <w:pPr>
        <w:ind w:left="4871" w:hanging="273"/>
      </w:pPr>
    </w:lvl>
    <w:lvl w:ilvl="6" w:tplc="3EFCBE72">
      <w:numFmt w:val="bullet"/>
      <w:lvlText w:val="•"/>
      <w:lvlJc w:val="left"/>
      <w:pPr>
        <w:ind w:left="5765" w:hanging="273"/>
      </w:pPr>
    </w:lvl>
    <w:lvl w:ilvl="7" w:tplc="8AD8F1DA">
      <w:numFmt w:val="bullet"/>
      <w:lvlText w:val="•"/>
      <w:lvlJc w:val="left"/>
      <w:pPr>
        <w:ind w:left="6659" w:hanging="273"/>
      </w:pPr>
    </w:lvl>
    <w:lvl w:ilvl="8" w:tplc="E53E3E5E">
      <w:numFmt w:val="bullet"/>
      <w:lvlText w:val="•"/>
      <w:lvlJc w:val="left"/>
      <w:pPr>
        <w:ind w:left="7553" w:hanging="273"/>
      </w:pPr>
    </w:lvl>
  </w:abstractNum>
  <w:abstractNum w:abstractNumId="12">
    <w:nsid w:val="56E54BB2"/>
    <w:multiLevelType w:val="hybridMultilevel"/>
    <w:tmpl w:val="21F28B7E"/>
    <w:lvl w:ilvl="0" w:tplc="F16431F4">
      <w:start w:val="1"/>
      <w:numFmt w:val="bullet"/>
      <w:lvlText w:val=""/>
      <w:lvlJc w:val="left"/>
      <w:pPr>
        <w:ind w:left="720" w:hanging="360"/>
      </w:pPr>
      <w:rPr>
        <w:rFonts w:ascii="Wingdings" w:hAnsi="Wingding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93476CB"/>
    <w:multiLevelType w:val="hybridMultilevel"/>
    <w:tmpl w:val="1E808DEC"/>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5BBF77EA"/>
    <w:multiLevelType w:val="hybridMultilevel"/>
    <w:tmpl w:val="4B4E4E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387704D"/>
    <w:multiLevelType w:val="hybridMultilevel"/>
    <w:tmpl w:val="F3884C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5140DEC"/>
    <w:multiLevelType w:val="hybridMultilevel"/>
    <w:tmpl w:val="E126F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8A96ED9"/>
    <w:multiLevelType w:val="hybridMultilevel"/>
    <w:tmpl w:val="C360D3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7C631BB"/>
    <w:multiLevelType w:val="hybridMultilevel"/>
    <w:tmpl w:val="4658FC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96A2DAD"/>
    <w:multiLevelType w:val="hybridMultilevel"/>
    <w:tmpl w:val="0BA8746E"/>
    <w:lvl w:ilvl="0" w:tplc="07467FB8">
      <w:start w:val="4"/>
      <w:numFmt w:val="lowerLetter"/>
      <w:lvlText w:val="%1)"/>
      <w:lvlJc w:val="left"/>
      <w:pPr>
        <w:ind w:left="885" w:hanging="422"/>
      </w:pPr>
      <w:rPr>
        <w:rFonts w:ascii="Times New Roman" w:eastAsia="Times New Roman" w:hAnsi="Times New Roman" w:cs="Times New Roman" w:hint="default"/>
        <w:w w:val="93"/>
        <w:sz w:val="23"/>
        <w:szCs w:val="23"/>
        <w:lang w:val="it-IT" w:eastAsia="en-US" w:bidi="ar-SA"/>
      </w:rPr>
    </w:lvl>
    <w:lvl w:ilvl="1" w:tplc="2D4C3110">
      <w:numFmt w:val="bullet"/>
      <w:lvlText w:val="•"/>
      <w:lvlJc w:val="left"/>
      <w:pPr>
        <w:ind w:left="1790" w:hanging="422"/>
      </w:pPr>
      <w:rPr>
        <w:rFonts w:hint="default"/>
        <w:lang w:val="it-IT" w:eastAsia="en-US" w:bidi="ar-SA"/>
      </w:rPr>
    </w:lvl>
    <w:lvl w:ilvl="2" w:tplc="A32A18EE">
      <w:numFmt w:val="bullet"/>
      <w:lvlText w:val="•"/>
      <w:lvlJc w:val="left"/>
      <w:pPr>
        <w:ind w:left="2700" w:hanging="422"/>
      </w:pPr>
      <w:rPr>
        <w:rFonts w:hint="default"/>
        <w:lang w:val="it-IT" w:eastAsia="en-US" w:bidi="ar-SA"/>
      </w:rPr>
    </w:lvl>
    <w:lvl w:ilvl="3" w:tplc="CBE81D7A">
      <w:numFmt w:val="bullet"/>
      <w:lvlText w:val="•"/>
      <w:lvlJc w:val="left"/>
      <w:pPr>
        <w:ind w:left="3610" w:hanging="422"/>
      </w:pPr>
      <w:rPr>
        <w:rFonts w:hint="default"/>
        <w:lang w:val="it-IT" w:eastAsia="en-US" w:bidi="ar-SA"/>
      </w:rPr>
    </w:lvl>
    <w:lvl w:ilvl="4" w:tplc="10A02CA0">
      <w:numFmt w:val="bullet"/>
      <w:lvlText w:val="•"/>
      <w:lvlJc w:val="left"/>
      <w:pPr>
        <w:ind w:left="4521" w:hanging="422"/>
      </w:pPr>
      <w:rPr>
        <w:rFonts w:hint="default"/>
        <w:lang w:val="it-IT" w:eastAsia="en-US" w:bidi="ar-SA"/>
      </w:rPr>
    </w:lvl>
    <w:lvl w:ilvl="5" w:tplc="83CCBA3A">
      <w:numFmt w:val="bullet"/>
      <w:lvlText w:val="•"/>
      <w:lvlJc w:val="left"/>
      <w:pPr>
        <w:ind w:left="5431" w:hanging="422"/>
      </w:pPr>
      <w:rPr>
        <w:rFonts w:hint="default"/>
        <w:lang w:val="it-IT" w:eastAsia="en-US" w:bidi="ar-SA"/>
      </w:rPr>
    </w:lvl>
    <w:lvl w:ilvl="6" w:tplc="E354B704">
      <w:numFmt w:val="bullet"/>
      <w:lvlText w:val="•"/>
      <w:lvlJc w:val="left"/>
      <w:pPr>
        <w:ind w:left="6341" w:hanging="422"/>
      </w:pPr>
      <w:rPr>
        <w:rFonts w:hint="default"/>
        <w:lang w:val="it-IT" w:eastAsia="en-US" w:bidi="ar-SA"/>
      </w:rPr>
    </w:lvl>
    <w:lvl w:ilvl="7" w:tplc="B936E81C">
      <w:numFmt w:val="bullet"/>
      <w:lvlText w:val="•"/>
      <w:lvlJc w:val="left"/>
      <w:pPr>
        <w:ind w:left="7252" w:hanging="422"/>
      </w:pPr>
      <w:rPr>
        <w:rFonts w:hint="default"/>
        <w:lang w:val="it-IT" w:eastAsia="en-US" w:bidi="ar-SA"/>
      </w:rPr>
    </w:lvl>
    <w:lvl w:ilvl="8" w:tplc="16A2C534">
      <w:numFmt w:val="bullet"/>
      <w:lvlText w:val="•"/>
      <w:lvlJc w:val="left"/>
      <w:pPr>
        <w:ind w:left="8162" w:hanging="422"/>
      </w:pPr>
      <w:rPr>
        <w:rFonts w:hint="default"/>
        <w:lang w:val="it-IT" w:eastAsia="en-US" w:bidi="ar-SA"/>
      </w:rPr>
    </w:lvl>
  </w:abstractNum>
  <w:abstractNum w:abstractNumId="20">
    <w:nsid w:val="7EBB17B9"/>
    <w:multiLevelType w:val="hybridMultilevel"/>
    <w:tmpl w:val="74626034"/>
    <w:lvl w:ilvl="0" w:tplc="4906C212">
      <w:start w:val="1"/>
      <w:numFmt w:val="lowerLetter"/>
      <w:lvlText w:val="%1)"/>
      <w:lvlJc w:val="left"/>
      <w:pPr>
        <w:ind w:left="53" w:hanging="260"/>
      </w:pPr>
      <w:rPr>
        <w:rFonts w:ascii="Times New Roman" w:eastAsia="Times New Roman" w:hAnsi="Times New Roman" w:cs="Times New Roman" w:hint="default"/>
        <w:w w:val="101"/>
        <w:sz w:val="21"/>
        <w:szCs w:val="21"/>
      </w:rPr>
    </w:lvl>
    <w:lvl w:ilvl="1" w:tplc="B1021A70">
      <w:numFmt w:val="bullet"/>
      <w:lvlText w:val="•"/>
      <w:lvlJc w:val="left"/>
      <w:pPr>
        <w:ind w:left="1006" w:hanging="260"/>
      </w:pPr>
    </w:lvl>
    <w:lvl w:ilvl="2" w:tplc="A8705206">
      <w:numFmt w:val="bullet"/>
      <w:lvlText w:val="•"/>
      <w:lvlJc w:val="left"/>
      <w:pPr>
        <w:ind w:left="1953" w:hanging="260"/>
      </w:pPr>
    </w:lvl>
    <w:lvl w:ilvl="3" w:tplc="1896A3C2">
      <w:numFmt w:val="bullet"/>
      <w:lvlText w:val="•"/>
      <w:lvlJc w:val="left"/>
      <w:pPr>
        <w:ind w:left="2900" w:hanging="260"/>
      </w:pPr>
    </w:lvl>
    <w:lvl w:ilvl="4" w:tplc="E6FC09FE">
      <w:numFmt w:val="bullet"/>
      <w:lvlText w:val="•"/>
      <w:lvlJc w:val="left"/>
      <w:pPr>
        <w:ind w:left="3846" w:hanging="260"/>
      </w:pPr>
    </w:lvl>
    <w:lvl w:ilvl="5" w:tplc="D0ECA3CC">
      <w:numFmt w:val="bullet"/>
      <w:lvlText w:val="•"/>
      <w:lvlJc w:val="left"/>
      <w:pPr>
        <w:ind w:left="4793" w:hanging="260"/>
      </w:pPr>
    </w:lvl>
    <w:lvl w:ilvl="6" w:tplc="4618683E">
      <w:numFmt w:val="bullet"/>
      <w:lvlText w:val="•"/>
      <w:lvlJc w:val="left"/>
      <w:pPr>
        <w:ind w:left="5740" w:hanging="260"/>
      </w:pPr>
    </w:lvl>
    <w:lvl w:ilvl="7" w:tplc="69A6949E">
      <w:numFmt w:val="bullet"/>
      <w:lvlText w:val="•"/>
      <w:lvlJc w:val="left"/>
      <w:pPr>
        <w:ind w:left="6686" w:hanging="260"/>
      </w:pPr>
    </w:lvl>
    <w:lvl w:ilvl="8" w:tplc="0D0E202E">
      <w:numFmt w:val="bullet"/>
      <w:lvlText w:val="•"/>
      <w:lvlJc w:val="left"/>
      <w:pPr>
        <w:ind w:left="7633" w:hanging="260"/>
      </w:pPr>
    </w:lvl>
  </w:abstractNum>
  <w:num w:numId="1">
    <w:abstractNumId w:val="1"/>
  </w:num>
  <w:num w:numId="2">
    <w:abstractNumId w:val="0"/>
  </w:num>
  <w:num w:numId="3">
    <w:abstractNumId w:val="19"/>
  </w:num>
  <w:num w:numId="4">
    <w:abstractNumId w:val="6"/>
  </w:num>
  <w:num w:numId="5">
    <w:abstractNumId w:val="13"/>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1"/>
  </w:num>
  <w:num w:numId="9">
    <w:abstractNumId w:val="20"/>
  </w:num>
  <w:num w:numId="10">
    <w:abstractNumId w:val="16"/>
  </w:num>
  <w:num w:numId="11">
    <w:abstractNumId w:val="18"/>
  </w:num>
  <w:num w:numId="12">
    <w:abstractNumId w:val="5"/>
  </w:num>
  <w:num w:numId="13">
    <w:abstractNumId w:val="15"/>
  </w:num>
  <w:num w:numId="14">
    <w:abstractNumId w:val="2"/>
  </w:num>
  <w:num w:numId="15">
    <w:abstractNumId w:val="7"/>
  </w:num>
  <w:num w:numId="16">
    <w:abstractNumId w:val="17"/>
  </w:num>
  <w:num w:numId="17">
    <w:abstractNumId w:val="10"/>
  </w:num>
  <w:num w:numId="18">
    <w:abstractNumId w:val="12"/>
  </w:num>
  <w:num w:numId="19">
    <w:abstractNumId w:val="14"/>
  </w:num>
  <w:num w:numId="20">
    <w:abstractNumId w:val="12"/>
  </w:num>
  <w:num w:numId="21">
    <w:abstractNumId w:val="9"/>
  </w:num>
  <w:num w:numId="22">
    <w:abstractNumId w:val="3"/>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Ferri - Fondazione IFEL">
    <w15:presenceInfo w15:providerId="None" w15:userId="Andrea Ferri - Fondazione IF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12"/>
    <w:rsid w:val="00001ABD"/>
    <w:rsid w:val="00005EDD"/>
    <w:rsid w:val="000067B8"/>
    <w:rsid w:val="00010189"/>
    <w:rsid w:val="00015830"/>
    <w:rsid w:val="00024DDF"/>
    <w:rsid w:val="000264AD"/>
    <w:rsid w:val="0003701E"/>
    <w:rsid w:val="000370B1"/>
    <w:rsid w:val="00037A00"/>
    <w:rsid w:val="0004125E"/>
    <w:rsid w:val="0004433F"/>
    <w:rsid w:val="00045011"/>
    <w:rsid w:val="00050B86"/>
    <w:rsid w:val="00061ECE"/>
    <w:rsid w:val="000663EA"/>
    <w:rsid w:val="00066690"/>
    <w:rsid w:val="0007227A"/>
    <w:rsid w:val="00072418"/>
    <w:rsid w:val="00075999"/>
    <w:rsid w:val="00083BAC"/>
    <w:rsid w:val="00093D5E"/>
    <w:rsid w:val="00094FFF"/>
    <w:rsid w:val="00096E94"/>
    <w:rsid w:val="00097C6E"/>
    <w:rsid w:val="000A4E63"/>
    <w:rsid w:val="000A682A"/>
    <w:rsid w:val="000A7752"/>
    <w:rsid w:val="000C056A"/>
    <w:rsid w:val="000C170A"/>
    <w:rsid w:val="000C2B9A"/>
    <w:rsid w:val="000C4A25"/>
    <w:rsid w:val="000C727A"/>
    <w:rsid w:val="000D3DD8"/>
    <w:rsid w:val="000D4F00"/>
    <w:rsid w:val="000D5D55"/>
    <w:rsid w:val="000E13BF"/>
    <w:rsid w:val="000E190C"/>
    <w:rsid w:val="000E2447"/>
    <w:rsid w:val="000E41E0"/>
    <w:rsid w:val="000E6603"/>
    <w:rsid w:val="000E7672"/>
    <w:rsid w:val="000F1C25"/>
    <w:rsid w:val="000F4D25"/>
    <w:rsid w:val="0010248F"/>
    <w:rsid w:val="00104A2A"/>
    <w:rsid w:val="00107C57"/>
    <w:rsid w:val="001116FE"/>
    <w:rsid w:val="00121A8E"/>
    <w:rsid w:val="0012434E"/>
    <w:rsid w:val="00132D08"/>
    <w:rsid w:val="00134C1F"/>
    <w:rsid w:val="00141C45"/>
    <w:rsid w:val="001422B5"/>
    <w:rsid w:val="00145E57"/>
    <w:rsid w:val="001479F5"/>
    <w:rsid w:val="00164871"/>
    <w:rsid w:val="001717E0"/>
    <w:rsid w:val="00172370"/>
    <w:rsid w:val="00174AAB"/>
    <w:rsid w:val="00176DCE"/>
    <w:rsid w:val="00177FD9"/>
    <w:rsid w:val="00182393"/>
    <w:rsid w:val="0018246C"/>
    <w:rsid w:val="00183C24"/>
    <w:rsid w:val="00190A4A"/>
    <w:rsid w:val="001938A5"/>
    <w:rsid w:val="00195516"/>
    <w:rsid w:val="0019788F"/>
    <w:rsid w:val="001A3017"/>
    <w:rsid w:val="001A38EF"/>
    <w:rsid w:val="001B17C1"/>
    <w:rsid w:val="001B1806"/>
    <w:rsid w:val="001B205A"/>
    <w:rsid w:val="001B3740"/>
    <w:rsid w:val="001B6FE3"/>
    <w:rsid w:val="001B7572"/>
    <w:rsid w:val="001C2614"/>
    <w:rsid w:val="001C4E70"/>
    <w:rsid w:val="001C6507"/>
    <w:rsid w:val="001D2014"/>
    <w:rsid w:val="001D4AC3"/>
    <w:rsid w:val="001D4B15"/>
    <w:rsid w:val="001D6FF9"/>
    <w:rsid w:val="001F1148"/>
    <w:rsid w:val="001F3729"/>
    <w:rsid w:val="00203C2F"/>
    <w:rsid w:val="002061E7"/>
    <w:rsid w:val="0020620B"/>
    <w:rsid w:val="00207FAA"/>
    <w:rsid w:val="00210874"/>
    <w:rsid w:val="00212121"/>
    <w:rsid w:val="00212B0E"/>
    <w:rsid w:val="00220D25"/>
    <w:rsid w:val="00224CB0"/>
    <w:rsid w:val="00230BF5"/>
    <w:rsid w:val="002329B0"/>
    <w:rsid w:val="002329C9"/>
    <w:rsid w:val="00233189"/>
    <w:rsid w:val="0023494D"/>
    <w:rsid w:val="00237A90"/>
    <w:rsid w:val="00250268"/>
    <w:rsid w:val="002536D9"/>
    <w:rsid w:val="0025535E"/>
    <w:rsid w:val="00270694"/>
    <w:rsid w:val="002707CF"/>
    <w:rsid w:val="00271733"/>
    <w:rsid w:val="00272EAD"/>
    <w:rsid w:val="00274D59"/>
    <w:rsid w:val="00275399"/>
    <w:rsid w:val="0027665E"/>
    <w:rsid w:val="00276AD8"/>
    <w:rsid w:val="00280AC7"/>
    <w:rsid w:val="00281AC5"/>
    <w:rsid w:val="00284812"/>
    <w:rsid w:val="00285F56"/>
    <w:rsid w:val="002870F9"/>
    <w:rsid w:val="00292465"/>
    <w:rsid w:val="002932DE"/>
    <w:rsid w:val="002954EB"/>
    <w:rsid w:val="00295F06"/>
    <w:rsid w:val="002962C7"/>
    <w:rsid w:val="002A05AB"/>
    <w:rsid w:val="002A0E5F"/>
    <w:rsid w:val="002A3E89"/>
    <w:rsid w:val="002A5986"/>
    <w:rsid w:val="002A60AC"/>
    <w:rsid w:val="002B08FB"/>
    <w:rsid w:val="002B3939"/>
    <w:rsid w:val="002C35EB"/>
    <w:rsid w:val="002C4482"/>
    <w:rsid w:val="002C77FF"/>
    <w:rsid w:val="002D2023"/>
    <w:rsid w:val="002D3243"/>
    <w:rsid w:val="002E127F"/>
    <w:rsid w:val="002E2AE8"/>
    <w:rsid w:val="002E4063"/>
    <w:rsid w:val="002F3912"/>
    <w:rsid w:val="002F61BF"/>
    <w:rsid w:val="003023E2"/>
    <w:rsid w:val="00305486"/>
    <w:rsid w:val="003064E0"/>
    <w:rsid w:val="0030790E"/>
    <w:rsid w:val="00310FFB"/>
    <w:rsid w:val="00312C1C"/>
    <w:rsid w:val="00314AEF"/>
    <w:rsid w:val="00315824"/>
    <w:rsid w:val="003328E6"/>
    <w:rsid w:val="003336F4"/>
    <w:rsid w:val="0033725D"/>
    <w:rsid w:val="00337428"/>
    <w:rsid w:val="00343152"/>
    <w:rsid w:val="0034381A"/>
    <w:rsid w:val="0034458F"/>
    <w:rsid w:val="00346CEF"/>
    <w:rsid w:val="00350911"/>
    <w:rsid w:val="0035542C"/>
    <w:rsid w:val="003559E9"/>
    <w:rsid w:val="003617DA"/>
    <w:rsid w:val="0036314B"/>
    <w:rsid w:val="003631C0"/>
    <w:rsid w:val="00367580"/>
    <w:rsid w:val="003726CA"/>
    <w:rsid w:val="003734C0"/>
    <w:rsid w:val="00380A29"/>
    <w:rsid w:val="00382142"/>
    <w:rsid w:val="003825B9"/>
    <w:rsid w:val="003876C5"/>
    <w:rsid w:val="003876DF"/>
    <w:rsid w:val="0039014C"/>
    <w:rsid w:val="003A1257"/>
    <w:rsid w:val="003A1B74"/>
    <w:rsid w:val="003A282C"/>
    <w:rsid w:val="003A4111"/>
    <w:rsid w:val="003B1294"/>
    <w:rsid w:val="003B5D25"/>
    <w:rsid w:val="003B6AEE"/>
    <w:rsid w:val="003C084E"/>
    <w:rsid w:val="003C1434"/>
    <w:rsid w:val="003C17A0"/>
    <w:rsid w:val="003C28CA"/>
    <w:rsid w:val="003C6926"/>
    <w:rsid w:val="003D1063"/>
    <w:rsid w:val="003D2070"/>
    <w:rsid w:val="003D4041"/>
    <w:rsid w:val="003E0E84"/>
    <w:rsid w:val="003E32EA"/>
    <w:rsid w:val="003E4FD1"/>
    <w:rsid w:val="003E5BE5"/>
    <w:rsid w:val="003F367F"/>
    <w:rsid w:val="003F3A93"/>
    <w:rsid w:val="003F573D"/>
    <w:rsid w:val="003F5A59"/>
    <w:rsid w:val="00403486"/>
    <w:rsid w:val="004034B6"/>
    <w:rsid w:val="0040361D"/>
    <w:rsid w:val="00405680"/>
    <w:rsid w:val="00413EBE"/>
    <w:rsid w:val="004155E3"/>
    <w:rsid w:val="00421A1B"/>
    <w:rsid w:val="0042272B"/>
    <w:rsid w:val="00422E24"/>
    <w:rsid w:val="00425720"/>
    <w:rsid w:val="0043015D"/>
    <w:rsid w:val="0043609F"/>
    <w:rsid w:val="004410F3"/>
    <w:rsid w:val="00441D01"/>
    <w:rsid w:val="00450B19"/>
    <w:rsid w:val="004518D1"/>
    <w:rsid w:val="004522DA"/>
    <w:rsid w:val="0045250F"/>
    <w:rsid w:val="00452CCD"/>
    <w:rsid w:val="00456ABB"/>
    <w:rsid w:val="00460C80"/>
    <w:rsid w:val="00466ED9"/>
    <w:rsid w:val="00471D4A"/>
    <w:rsid w:val="00482667"/>
    <w:rsid w:val="004847A9"/>
    <w:rsid w:val="00486006"/>
    <w:rsid w:val="0049541E"/>
    <w:rsid w:val="004A2D1B"/>
    <w:rsid w:val="004A5F12"/>
    <w:rsid w:val="004B7D41"/>
    <w:rsid w:val="004C20F2"/>
    <w:rsid w:val="004C21F6"/>
    <w:rsid w:val="004C6A83"/>
    <w:rsid w:val="004D0344"/>
    <w:rsid w:val="004D1EF8"/>
    <w:rsid w:val="004E1612"/>
    <w:rsid w:val="004E7CB4"/>
    <w:rsid w:val="00500388"/>
    <w:rsid w:val="005006B4"/>
    <w:rsid w:val="00504B25"/>
    <w:rsid w:val="005132F3"/>
    <w:rsid w:val="00514838"/>
    <w:rsid w:val="00521A80"/>
    <w:rsid w:val="00522A9F"/>
    <w:rsid w:val="00525F76"/>
    <w:rsid w:val="005265BC"/>
    <w:rsid w:val="005358EC"/>
    <w:rsid w:val="00541632"/>
    <w:rsid w:val="0054199F"/>
    <w:rsid w:val="005475AE"/>
    <w:rsid w:val="005501F7"/>
    <w:rsid w:val="00552A8D"/>
    <w:rsid w:val="00553D72"/>
    <w:rsid w:val="00554A31"/>
    <w:rsid w:val="0055590F"/>
    <w:rsid w:val="00555CD3"/>
    <w:rsid w:val="0055737C"/>
    <w:rsid w:val="00562EC6"/>
    <w:rsid w:val="00565344"/>
    <w:rsid w:val="00570ED9"/>
    <w:rsid w:val="005716D8"/>
    <w:rsid w:val="0057234B"/>
    <w:rsid w:val="00576CED"/>
    <w:rsid w:val="00590199"/>
    <w:rsid w:val="00590DCF"/>
    <w:rsid w:val="005933E4"/>
    <w:rsid w:val="005A4D85"/>
    <w:rsid w:val="005A6DF5"/>
    <w:rsid w:val="005B0471"/>
    <w:rsid w:val="005B1303"/>
    <w:rsid w:val="005B2FE9"/>
    <w:rsid w:val="005B6467"/>
    <w:rsid w:val="005B6934"/>
    <w:rsid w:val="005C6AC9"/>
    <w:rsid w:val="005D1746"/>
    <w:rsid w:val="005D25AB"/>
    <w:rsid w:val="005D2883"/>
    <w:rsid w:val="005D7A8F"/>
    <w:rsid w:val="005E41F5"/>
    <w:rsid w:val="005F1053"/>
    <w:rsid w:val="005F4AD2"/>
    <w:rsid w:val="00627856"/>
    <w:rsid w:val="00631307"/>
    <w:rsid w:val="0063191E"/>
    <w:rsid w:val="00633244"/>
    <w:rsid w:val="00634D2F"/>
    <w:rsid w:val="00635E90"/>
    <w:rsid w:val="00637CB8"/>
    <w:rsid w:val="00641604"/>
    <w:rsid w:val="006423D0"/>
    <w:rsid w:val="00645624"/>
    <w:rsid w:val="006504B1"/>
    <w:rsid w:val="00652390"/>
    <w:rsid w:val="006525B4"/>
    <w:rsid w:val="00652984"/>
    <w:rsid w:val="00663986"/>
    <w:rsid w:val="00664A07"/>
    <w:rsid w:val="006665F8"/>
    <w:rsid w:val="006666C3"/>
    <w:rsid w:val="00672E1F"/>
    <w:rsid w:val="00673788"/>
    <w:rsid w:val="006770D5"/>
    <w:rsid w:val="0068313D"/>
    <w:rsid w:val="00687E3B"/>
    <w:rsid w:val="00690536"/>
    <w:rsid w:val="00691074"/>
    <w:rsid w:val="00694B22"/>
    <w:rsid w:val="0069554F"/>
    <w:rsid w:val="00696355"/>
    <w:rsid w:val="006A45A7"/>
    <w:rsid w:val="006B0076"/>
    <w:rsid w:val="006B0448"/>
    <w:rsid w:val="006B415E"/>
    <w:rsid w:val="006B44AE"/>
    <w:rsid w:val="006B57D7"/>
    <w:rsid w:val="006B6161"/>
    <w:rsid w:val="006C493B"/>
    <w:rsid w:val="006C5445"/>
    <w:rsid w:val="006D016D"/>
    <w:rsid w:val="006D60FE"/>
    <w:rsid w:val="006E03C9"/>
    <w:rsid w:val="006E4F85"/>
    <w:rsid w:val="007026F9"/>
    <w:rsid w:val="007028C4"/>
    <w:rsid w:val="00707167"/>
    <w:rsid w:val="00707EFC"/>
    <w:rsid w:val="00710BF0"/>
    <w:rsid w:val="00711B30"/>
    <w:rsid w:val="007155B8"/>
    <w:rsid w:val="00723259"/>
    <w:rsid w:val="00732F56"/>
    <w:rsid w:val="00737D9B"/>
    <w:rsid w:val="00740ADB"/>
    <w:rsid w:val="007460E1"/>
    <w:rsid w:val="007525CD"/>
    <w:rsid w:val="00752A93"/>
    <w:rsid w:val="00754CB6"/>
    <w:rsid w:val="0077360F"/>
    <w:rsid w:val="00774D64"/>
    <w:rsid w:val="007806D5"/>
    <w:rsid w:val="00785E6B"/>
    <w:rsid w:val="00787000"/>
    <w:rsid w:val="00790A0F"/>
    <w:rsid w:val="00791DE2"/>
    <w:rsid w:val="00794832"/>
    <w:rsid w:val="00795080"/>
    <w:rsid w:val="00797885"/>
    <w:rsid w:val="007A0C34"/>
    <w:rsid w:val="007A0C76"/>
    <w:rsid w:val="007A6A26"/>
    <w:rsid w:val="007B7357"/>
    <w:rsid w:val="007C36BC"/>
    <w:rsid w:val="007C4FBC"/>
    <w:rsid w:val="007D40CD"/>
    <w:rsid w:val="007D4F78"/>
    <w:rsid w:val="007D6559"/>
    <w:rsid w:val="007D6A7A"/>
    <w:rsid w:val="007D6EC8"/>
    <w:rsid w:val="007E53DC"/>
    <w:rsid w:val="007F3083"/>
    <w:rsid w:val="007F3D6C"/>
    <w:rsid w:val="00801775"/>
    <w:rsid w:val="008072CB"/>
    <w:rsid w:val="008103CE"/>
    <w:rsid w:val="00815741"/>
    <w:rsid w:val="00820B52"/>
    <w:rsid w:val="0082147F"/>
    <w:rsid w:val="008273E2"/>
    <w:rsid w:val="00832809"/>
    <w:rsid w:val="00834C46"/>
    <w:rsid w:val="008430AA"/>
    <w:rsid w:val="008432A1"/>
    <w:rsid w:val="008478EB"/>
    <w:rsid w:val="00852874"/>
    <w:rsid w:val="00855B89"/>
    <w:rsid w:val="008563C6"/>
    <w:rsid w:val="0086165B"/>
    <w:rsid w:val="00863376"/>
    <w:rsid w:val="008721D4"/>
    <w:rsid w:val="00872303"/>
    <w:rsid w:val="008743FE"/>
    <w:rsid w:val="008766E3"/>
    <w:rsid w:val="00880AD9"/>
    <w:rsid w:val="008812E3"/>
    <w:rsid w:val="00881EEA"/>
    <w:rsid w:val="00882CB6"/>
    <w:rsid w:val="00884034"/>
    <w:rsid w:val="00884E91"/>
    <w:rsid w:val="00884EE3"/>
    <w:rsid w:val="00891E4B"/>
    <w:rsid w:val="008963E2"/>
    <w:rsid w:val="00896D1B"/>
    <w:rsid w:val="008A087F"/>
    <w:rsid w:val="008A0B97"/>
    <w:rsid w:val="008A3CA9"/>
    <w:rsid w:val="008A52F1"/>
    <w:rsid w:val="008A6216"/>
    <w:rsid w:val="008A6D44"/>
    <w:rsid w:val="008B20D8"/>
    <w:rsid w:val="008B6DC5"/>
    <w:rsid w:val="008C42B6"/>
    <w:rsid w:val="008D13E2"/>
    <w:rsid w:val="008D1AF9"/>
    <w:rsid w:val="008D3EB5"/>
    <w:rsid w:val="008D6AA9"/>
    <w:rsid w:val="008E30F7"/>
    <w:rsid w:val="008E4F84"/>
    <w:rsid w:val="008E7AE6"/>
    <w:rsid w:val="008F2966"/>
    <w:rsid w:val="008F4A99"/>
    <w:rsid w:val="008F659D"/>
    <w:rsid w:val="009039AE"/>
    <w:rsid w:val="00910377"/>
    <w:rsid w:val="009103E2"/>
    <w:rsid w:val="00915010"/>
    <w:rsid w:val="009164DF"/>
    <w:rsid w:val="00920409"/>
    <w:rsid w:val="009245A9"/>
    <w:rsid w:val="009325AD"/>
    <w:rsid w:val="0093402A"/>
    <w:rsid w:val="00934BBB"/>
    <w:rsid w:val="00934C86"/>
    <w:rsid w:val="00936D42"/>
    <w:rsid w:val="00940A36"/>
    <w:rsid w:val="0094312D"/>
    <w:rsid w:val="0094336E"/>
    <w:rsid w:val="00950095"/>
    <w:rsid w:val="00955EFF"/>
    <w:rsid w:val="009563C6"/>
    <w:rsid w:val="00957592"/>
    <w:rsid w:val="00964964"/>
    <w:rsid w:val="00974202"/>
    <w:rsid w:val="009824EC"/>
    <w:rsid w:val="00983950"/>
    <w:rsid w:val="00986628"/>
    <w:rsid w:val="00986F6A"/>
    <w:rsid w:val="00987909"/>
    <w:rsid w:val="00990995"/>
    <w:rsid w:val="00991C17"/>
    <w:rsid w:val="0099501C"/>
    <w:rsid w:val="009A5521"/>
    <w:rsid w:val="009A691F"/>
    <w:rsid w:val="009A6DCE"/>
    <w:rsid w:val="009B4C1A"/>
    <w:rsid w:val="009B4FC9"/>
    <w:rsid w:val="009B636F"/>
    <w:rsid w:val="009C096A"/>
    <w:rsid w:val="009C11A2"/>
    <w:rsid w:val="009D0B6D"/>
    <w:rsid w:val="009D1CE4"/>
    <w:rsid w:val="009D46D7"/>
    <w:rsid w:val="009D778F"/>
    <w:rsid w:val="009E44DC"/>
    <w:rsid w:val="009F2341"/>
    <w:rsid w:val="009F7BA4"/>
    <w:rsid w:val="00A0391A"/>
    <w:rsid w:val="00A06AA9"/>
    <w:rsid w:val="00A16D6B"/>
    <w:rsid w:val="00A17783"/>
    <w:rsid w:val="00A2401F"/>
    <w:rsid w:val="00A33B85"/>
    <w:rsid w:val="00A34533"/>
    <w:rsid w:val="00A43DCB"/>
    <w:rsid w:val="00A51824"/>
    <w:rsid w:val="00A52F56"/>
    <w:rsid w:val="00A556A9"/>
    <w:rsid w:val="00A55FB2"/>
    <w:rsid w:val="00A61FF0"/>
    <w:rsid w:val="00A64F1B"/>
    <w:rsid w:val="00A659EB"/>
    <w:rsid w:val="00A664AF"/>
    <w:rsid w:val="00A70803"/>
    <w:rsid w:val="00A744D2"/>
    <w:rsid w:val="00A75C19"/>
    <w:rsid w:val="00A8684E"/>
    <w:rsid w:val="00A86CAB"/>
    <w:rsid w:val="00A90C2C"/>
    <w:rsid w:val="00A910FC"/>
    <w:rsid w:val="00AB4B25"/>
    <w:rsid w:val="00AB4E0F"/>
    <w:rsid w:val="00AC2C49"/>
    <w:rsid w:val="00AD60DE"/>
    <w:rsid w:val="00AE5307"/>
    <w:rsid w:val="00AE7FFC"/>
    <w:rsid w:val="00B01537"/>
    <w:rsid w:val="00B06CFB"/>
    <w:rsid w:val="00B14B58"/>
    <w:rsid w:val="00B1508D"/>
    <w:rsid w:val="00B15BDD"/>
    <w:rsid w:val="00B17455"/>
    <w:rsid w:val="00B21850"/>
    <w:rsid w:val="00B21924"/>
    <w:rsid w:val="00B31420"/>
    <w:rsid w:val="00B41256"/>
    <w:rsid w:val="00B4163F"/>
    <w:rsid w:val="00B428A2"/>
    <w:rsid w:val="00B441AA"/>
    <w:rsid w:val="00B54F48"/>
    <w:rsid w:val="00B55F04"/>
    <w:rsid w:val="00B6002D"/>
    <w:rsid w:val="00B60143"/>
    <w:rsid w:val="00B60A8B"/>
    <w:rsid w:val="00B62AC4"/>
    <w:rsid w:val="00B62D5C"/>
    <w:rsid w:val="00B6587F"/>
    <w:rsid w:val="00B67D56"/>
    <w:rsid w:val="00B72F49"/>
    <w:rsid w:val="00B7585E"/>
    <w:rsid w:val="00B775D1"/>
    <w:rsid w:val="00B80FC4"/>
    <w:rsid w:val="00B82406"/>
    <w:rsid w:val="00B90BAE"/>
    <w:rsid w:val="00B93C4D"/>
    <w:rsid w:val="00B93E7E"/>
    <w:rsid w:val="00B94D12"/>
    <w:rsid w:val="00B94F07"/>
    <w:rsid w:val="00B969C2"/>
    <w:rsid w:val="00BA2C0B"/>
    <w:rsid w:val="00BA4718"/>
    <w:rsid w:val="00BA55B6"/>
    <w:rsid w:val="00BA604D"/>
    <w:rsid w:val="00BA6BE7"/>
    <w:rsid w:val="00BB39B2"/>
    <w:rsid w:val="00BB5F93"/>
    <w:rsid w:val="00BC742F"/>
    <w:rsid w:val="00BD2EDA"/>
    <w:rsid w:val="00BD41E0"/>
    <w:rsid w:val="00BE240B"/>
    <w:rsid w:val="00BF7E74"/>
    <w:rsid w:val="00C00848"/>
    <w:rsid w:val="00C07C02"/>
    <w:rsid w:val="00C1166C"/>
    <w:rsid w:val="00C17B6A"/>
    <w:rsid w:val="00C216BB"/>
    <w:rsid w:val="00C21B65"/>
    <w:rsid w:val="00C2354E"/>
    <w:rsid w:val="00C25663"/>
    <w:rsid w:val="00C2669B"/>
    <w:rsid w:val="00C26F36"/>
    <w:rsid w:val="00C2758D"/>
    <w:rsid w:val="00C300C3"/>
    <w:rsid w:val="00C314BB"/>
    <w:rsid w:val="00C3560D"/>
    <w:rsid w:val="00C35D3D"/>
    <w:rsid w:val="00C4349D"/>
    <w:rsid w:val="00C47B0C"/>
    <w:rsid w:val="00C51818"/>
    <w:rsid w:val="00C5239D"/>
    <w:rsid w:val="00C56EA6"/>
    <w:rsid w:val="00C67937"/>
    <w:rsid w:val="00C71D73"/>
    <w:rsid w:val="00C73611"/>
    <w:rsid w:val="00C73750"/>
    <w:rsid w:val="00C74570"/>
    <w:rsid w:val="00C773E3"/>
    <w:rsid w:val="00C81AC7"/>
    <w:rsid w:val="00C8242C"/>
    <w:rsid w:val="00C85AA9"/>
    <w:rsid w:val="00C900A8"/>
    <w:rsid w:val="00C9143C"/>
    <w:rsid w:val="00C922EA"/>
    <w:rsid w:val="00C93249"/>
    <w:rsid w:val="00C9426C"/>
    <w:rsid w:val="00CA4AC4"/>
    <w:rsid w:val="00CB306B"/>
    <w:rsid w:val="00CB420D"/>
    <w:rsid w:val="00CB7ADF"/>
    <w:rsid w:val="00CC1589"/>
    <w:rsid w:val="00CC3268"/>
    <w:rsid w:val="00CC5475"/>
    <w:rsid w:val="00CD2E4C"/>
    <w:rsid w:val="00CD4310"/>
    <w:rsid w:val="00CD632E"/>
    <w:rsid w:val="00CE0A28"/>
    <w:rsid w:val="00CE5A08"/>
    <w:rsid w:val="00CE69F0"/>
    <w:rsid w:val="00CE7453"/>
    <w:rsid w:val="00CF1FEA"/>
    <w:rsid w:val="00CF3587"/>
    <w:rsid w:val="00D00FFB"/>
    <w:rsid w:val="00D030C4"/>
    <w:rsid w:val="00D05CBB"/>
    <w:rsid w:val="00D061FA"/>
    <w:rsid w:val="00D06BF3"/>
    <w:rsid w:val="00D10D54"/>
    <w:rsid w:val="00D13567"/>
    <w:rsid w:val="00D15E4B"/>
    <w:rsid w:val="00D20D01"/>
    <w:rsid w:val="00D21F7A"/>
    <w:rsid w:val="00D221C0"/>
    <w:rsid w:val="00D2527E"/>
    <w:rsid w:val="00D3615F"/>
    <w:rsid w:val="00D36FD9"/>
    <w:rsid w:val="00D44A41"/>
    <w:rsid w:val="00D45501"/>
    <w:rsid w:val="00D464D9"/>
    <w:rsid w:val="00D505CC"/>
    <w:rsid w:val="00D54580"/>
    <w:rsid w:val="00D5567A"/>
    <w:rsid w:val="00D64F9E"/>
    <w:rsid w:val="00D66AAF"/>
    <w:rsid w:val="00D67538"/>
    <w:rsid w:val="00D775A0"/>
    <w:rsid w:val="00D826C7"/>
    <w:rsid w:val="00D8344A"/>
    <w:rsid w:val="00D864BE"/>
    <w:rsid w:val="00D87BB2"/>
    <w:rsid w:val="00D90B52"/>
    <w:rsid w:val="00D91048"/>
    <w:rsid w:val="00D910FD"/>
    <w:rsid w:val="00D93D35"/>
    <w:rsid w:val="00DA6566"/>
    <w:rsid w:val="00DB218B"/>
    <w:rsid w:val="00DB600A"/>
    <w:rsid w:val="00DC0E0D"/>
    <w:rsid w:val="00DC0E79"/>
    <w:rsid w:val="00DC2278"/>
    <w:rsid w:val="00DC3794"/>
    <w:rsid w:val="00DC3D5C"/>
    <w:rsid w:val="00DC456D"/>
    <w:rsid w:val="00DD2681"/>
    <w:rsid w:val="00DD4531"/>
    <w:rsid w:val="00DD5B19"/>
    <w:rsid w:val="00DD600B"/>
    <w:rsid w:val="00DD66C5"/>
    <w:rsid w:val="00DD7B3E"/>
    <w:rsid w:val="00DE12FD"/>
    <w:rsid w:val="00DE7914"/>
    <w:rsid w:val="00DF1F67"/>
    <w:rsid w:val="00DF2186"/>
    <w:rsid w:val="00DF6CA1"/>
    <w:rsid w:val="00DF7AAE"/>
    <w:rsid w:val="00E01EB4"/>
    <w:rsid w:val="00E078D1"/>
    <w:rsid w:val="00E23A69"/>
    <w:rsid w:val="00E24D89"/>
    <w:rsid w:val="00E24FD5"/>
    <w:rsid w:val="00E26124"/>
    <w:rsid w:val="00E3386C"/>
    <w:rsid w:val="00E3456B"/>
    <w:rsid w:val="00E3525E"/>
    <w:rsid w:val="00E35569"/>
    <w:rsid w:val="00E37717"/>
    <w:rsid w:val="00E41963"/>
    <w:rsid w:val="00E434BD"/>
    <w:rsid w:val="00E446E4"/>
    <w:rsid w:val="00E4500B"/>
    <w:rsid w:val="00E45D0A"/>
    <w:rsid w:val="00E5190C"/>
    <w:rsid w:val="00E54B1F"/>
    <w:rsid w:val="00E57325"/>
    <w:rsid w:val="00E57587"/>
    <w:rsid w:val="00E57CF4"/>
    <w:rsid w:val="00E611EF"/>
    <w:rsid w:val="00E62FA9"/>
    <w:rsid w:val="00E63341"/>
    <w:rsid w:val="00E63611"/>
    <w:rsid w:val="00E66794"/>
    <w:rsid w:val="00E70E5A"/>
    <w:rsid w:val="00E72EFA"/>
    <w:rsid w:val="00E747E8"/>
    <w:rsid w:val="00E74B69"/>
    <w:rsid w:val="00E7646D"/>
    <w:rsid w:val="00E77627"/>
    <w:rsid w:val="00E81077"/>
    <w:rsid w:val="00E82345"/>
    <w:rsid w:val="00E8369C"/>
    <w:rsid w:val="00E9441B"/>
    <w:rsid w:val="00E94A54"/>
    <w:rsid w:val="00E952B9"/>
    <w:rsid w:val="00E96731"/>
    <w:rsid w:val="00E97252"/>
    <w:rsid w:val="00EA0326"/>
    <w:rsid w:val="00EA5D3C"/>
    <w:rsid w:val="00EA61BA"/>
    <w:rsid w:val="00EA7D67"/>
    <w:rsid w:val="00EB1C8E"/>
    <w:rsid w:val="00EB6F3C"/>
    <w:rsid w:val="00EB70AD"/>
    <w:rsid w:val="00EC0DE6"/>
    <w:rsid w:val="00EC0E7E"/>
    <w:rsid w:val="00EC5465"/>
    <w:rsid w:val="00ED25D3"/>
    <w:rsid w:val="00ED2AFB"/>
    <w:rsid w:val="00ED5BA8"/>
    <w:rsid w:val="00EE3002"/>
    <w:rsid w:val="00EE3253"/>
    <w:rsid w:val="00EF136D"/>
    <w:rsid w:val="00EF3A81"/>
    <w:rsid w:val="00EF6505"/>
    <w:rsid w:val="00EF68B9"/>
    <w:rsid w:val="00EF7DBA"/>
    <w:rsid w:val="00F008C9"/>
    <w:rsid w:val="00F0143E"/>
    <w:rsid w:val="00F03435"/>
    <w:rsid w:val="00F116E8"/>
    <w:rsid w:val="00F1198C"/>
    <w:rsid w:val="00F131DB"/>
    <w:rsid w:val="00F13DB1"/>
    <w:rsid w:val="00F150AA"/>
    <w:rsid w:val="00F161C4"/>
    <w:rsid w:val="00F21831"/>
    <w:rsid w:val="00F22148"/>
    <w:rsid w:val="00F22DFD"/>
    <w:rsid w:val="00F30015"/>
    <w:rsid w:val="00F34B86"/>
    <w:rsid w:val="00F3731D"/>
    <w:rsid w:val="00F4089B"/>
    <w:rsid w:val="00F414EF"/>
    <w:rsid w:val="00F422C8"/>
    <w:rsid w:val="00F466B6"/>
    <w:rsid w:val="00F505E5"/>
    <w:rsid w:val="00F51016"/>
    <w:rsid w:val="00F543DA"/>
    <w:rsid w:val="00F551CD"/>
    <w:rsid w:val="00F5602B"/>
    <w:rsid w:val="00F56669"/>
    <w:rsid w:val="00F56AB9"/>
    <w:rsid w:val="00F64295"/>
    <w:rsid w:val="00F811A1"/>
    <w:rsid w:val="00F83937"/>
    <w:rsid w:val="00F85E24"/>
    <w:rsid w:val="00F867F8"/>
    <w:rsid w:val="00F86815"/>
    <w:rsid w:val="00F9138A"/>
    <w:rsid w:val="00F937F8"/>
    <w:rsid w:val="00F93F22"/>
    <w:rsid w:val="00F94DBE"/>
    <w:rsid w:val="00F97B91"/>
    <w:rsid w:val="00FA0892"/>
    <w:rsid w:val="00FA0BBB"/>
    <w:rsid w:val="00FA49EB"/>
    <w:rsid w:val="00FA5E8D"/>
    <w:rsid w:val="00FA5E97"/>
    <w:rsid w:val="00FB23BE"/>
    <w:rsid w:val="00FB24D3"/>
    <w:rsid w:val="00FB4DD8"/>
    <w:rsid w:val="00FB72D3"/>
    <w:rsid w:val="00FB76D4"/>
    <w:rsid w:val="00FC3F78"/>
    <w:rsid w:val="00FC5785"/>
    <w:rsid w:val="00FC7994"/>
    <w:rsid w:val="00FD0700"/>
    <w:rsid w:val="00FD09C1"/>
    <w:rsid w:val="00FD1B39"/>
    <w:rsid w:val="00FD335B"/>
    <w:rsid w:val="00FD448E"/>
    <w:rsid w:val="00FD6BF6"/>
    <w:rsid w:val="00FE06AF"/>
    <w:rsid w:val="00FF159A"/>
    <w:rsid w:val="00FF2AF7"/>
    <w:rsid w:val="00FF73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1612"/>
    <w:pPr>
      <w:spacing w:after="0" w:line="240" w:lineRule="auto"/>
    </w:pPr>
    <w:rPr>
      <w:sz w:val="24"/>
      <w:szCs w:val="24"/>
    </w:rPr>
  </w:style>
  <w:style w:type="paragraph" w:styleId="Titolo1">
    <w:name w:val="heading 1"/>
    <w:basedOn w:val="Normale"/>
    <w:link w:val="Titolo1Carattere"/>
    <w:uiPriority w:val="9"/>
    <w:qFormat/>
    <w:rsid w:val="0040361D"/>
    <w:pPr>
      <w:widowControl w:val="0"/>
      <w:autoSpaceDE w:val="0"/>
      <w:autoSpaceDN w:val="0"/>
      <w:ind w:left="200" w:right="205"/>
      <w:jc w:val="center"/>
      <w:outlineLvl w:val="0"/>
    </w:pPr>
    <w:rPr>
      <w:rFonts w:ascii="Times New Roman" w:eastAsia="Times New Roman" w:hAnsi="Times New Roman" w:cs="Times New Roman"/>
      <w:b/>
      <w:bCs/>
      <w:i/>
      <w:iCs/>
      <w:sz w:val="23"/>
      <w:szCs w:val="23"/>
    </w:rPr>
  </w:style>
  <w:style w:type="paragraph" w:styleId="Titolo4">
    <w:name w:val="heading 4"/>
    <w:basedOn w:val="Normale"/>
    <w:next w:val="Normale"/>
    <w:link w:val="Titolo4Carattere"/>
    <w:uiPriority w:val="9"/>
    <w:semiHidden/>
    <w:unhideWhenUsed/>
    <w:qFormat/>
    <w:rsid w:val="0019788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E16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40361D"/>
    <w:rPr>
      <w:rFonts w:ascii="Times New Roman" w:eastAsia="Times New Roman" w:hAnsi="Times New Roman" w:cs="Times New Roman"/>
      <w:b/>
      <w:bCs/>
      <w:i/>
      <w:iCs/>
      <w:sz w:val="23"/>
      <w:szCs w:val="23"/>
    </w:rPr>
  </w:style>
  <w:style w:type="paragraph" w:styleId="Corpotesto">
    <w:name w:val="Body Text"/>
    <w:basedOn w:val="Normale"/>
    <w:link w:val="CorpotestoCarattere"/>
    <w:uiPriority w:val="1"/>
    <w:qFormat/>
    <w:rsid w:val="0040361D"/>
    <w:pPr>
      <w:widowControl w:val="0"/>
      <w:autoSpaceDE w:val="0"/>
      <w:autoSpaceDN w:val="0"/>
      <w:jc w:val="both"/>
    </w:pPr>
    <w:rPr>
      <w:rFonts w:ascii="Times New Roman" w:eastAsia="Times New Roman" w:hAnsi="Times New Roman" w:cs="Times New Roman"/>
      <w:sz w:val="23"/>
      <w:szCs w:val="23"/>
    </w:rPr>
  </w:style>
  <w:style w:type="character" w:customStyle="1" w:styleId="CorpotestoCarattere">
    <w:name w:val="Corpo testo Carattere"/>
    <w:basedOn w:val="Carpredefinitoparagrafo"/>
    <w:link w:val="Corpotesto"/>
    <w:uiPriority w:val="1"/>
    <w:rsid w:val="0040361D"/>
    <w:rPr>
      <w:rFonts w:ascii="Times New Roman" w:eastAsia="Times New Roman" w:hAnsi="Times New Roman" w:cs="Times New Roman"/>
      <w:sz w:val="23"/>
      <w:szCs w:val="23"/>
    </w:rPr>
  </w:style>
  <w:style w:type="paragraph" w:styleId="Paragrafoelenco">
    <w:name w:val="List Paragraph"/>
    <w:basedOn w:val="Normale"/>
    <w:uiPriority w:val="1"/>
    <w:qFormat/>
    <w:rsid w:val="0034458F"/>
    <w:pPr>
      <w:widowControl w:val="0"/>
      <w:autoSpaceDE w:val="0"/>
      <w:autoSpaceDN w:val="0"/>
      <w:spacing w:line="256" w:lineRule="exact"/>
      <w:ind w:left="877" w:hanging="418"/>
    </w:pPr>
    <w:rPr>
      <w:rFonts w:ascii="Times New Roman" w:eastAsia="Times New Roman" w:hAnsi="Times New Roman" w:cs="Times New Roman"/>
      <w:sz w:val="22"/>
      <w:szCs w:val="22"/>
    </w:rPr>
  </w:style>
  <w:style w:type="paragraph" w:styleId="Intestazione">
    <w:name w:val="header"/>
    <w:basedOn w:val="Normale"/>
    <w:link w:val="IntestazioneCarattere"/>
    <w:uiPriority w:val="99"/>
    <w:unhideWhenUsed/>
    <w:rsid w:val="009245A9"/>
    <w:pPr>
      <w:tabs>
        <w:tab w:val="center" w:pos="4819"/>
        <w:tab w:val="right" w:pos="9638"/>
      </w:tabs>
    </w:pPr>
  </w:style>
  <w:style w:type="character" w:customStyle="1" w:styleId="IntestazioneCarattere">
    <w:name w:val="Intestazione Carattere"/>
    <w:basedOn w:val="Carpredefinitoparagrafo"/>
    <w:link w:val="Intestazione"/>
    <w:uiPriority w:val="99"/>
    <w:rsid w:val="009245A9"/>
    <w:rPr>
      <w:sz w:val="24"/>
      <w:szCs w:val="24"/>
    </w:rPr>
  </w:style>
  <w:style w:type="paragraph" w:styleId="Pidipagina">
    <w:name w:val="footer"/>
    <w:basedOn w:val="Normale"/>
    <w:link w:val="PidipaginaCarattere"/>
    <w:uiPriority w:val="99"/>
    <w:unhideWhenUsed/>
    <w:rsid w:val="009245A9"/>
    <w:pPr>
      <w:tabs>
        <w:tab w:val="center" w:pos="4819"/>
        <w:tab w:val="right" w:pos="9638"/>
      </w:tabs>
    </w:pPr>
  </w:style>
  <w:style w:type="character" w:customStyle="1" w:styleId="PidipaginaCarattere">
    <w:name w:val="Piè di pagina Carattere"/>
    <w:basedOn w:val="Carpredefinitoparagrafo"/>
    <w:link w:val="Pidipagina"/>
    <w:uiPriority w:val="99"/>
    <w:rsid w:val="009245A9"/>
    <w:rPr>
      <w:sz w:val="24"/>
      <w:szCs w:val="24"/>
    </w:rPr>
  </w:style>
  <w:style w:type="paragraph" w:styleId="Testofumetto">
    <w:name w:val="Balloon Text"/>
    <w:basedOn w:val="Normale"/>
    <w:link w:val="TestofumettoCarattere"/>
    <w:uiPriority w:val="99"/>
    <w:semiHidden/>
    <w:unhideWhenUsed/>
    <w:rsid w:val="009F23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2341"/>
    <w:rPr>
      <w:rFonts w:ascii="Tahoma" w:hAnsi="Tahoma" w:cs="Tahoma"/>
      <w:sz w:val="16"/>
      <w:szCs w:val="16"/>
    </w:rPr>
  </w:style>
  <w:style w:type="character" w:customStyle="1" w:styleId="Titolo4Carattere">
    <w:name w:val="Titolo 4 Carattere"/>
    <w:basedOn w:val="Carpredefinitoparagrafo"/>
    <w:link w:val="Titolo4"/>
    <w:uiPriority w:val="9"/>
    <w:semiHidden/>
    <w:rsid w:val="0019788F"/>
    <w:rPr>
      <w:rFonts w:asciiTheme="majorHAnsi" w:eastAsiaTheme="majorEastAsia" w:hAnsiTheme="majorHAnsi" w:cstheme="majorBidi"/>
      <w:i/>
      <w:iCs/>
      <w:color w:val="2F5496" w:themeColor="accent1" w:themeShade="BF"/>
      <w:sz w:val="24"/>
      <w:szCs w:val="24"/>
    </w:rPr>
  </w:style>
  <w:style w:type="paragraph" w:customStyle="1" w:styleId="a6">
    <w:name w:val="a6"/>
    <w:basedOn w:val="Normale"/>
    <w:rsid w:val="008B6DC5"/>
    <w:pPr>
      <w:spacing w:before="100" w:beforeAutospacing="1" w:after="100" w:afterAutospacing="1"/>
    </w:pPr>
    <w:rPr>
      <w:rFonts w:ascii="Times New Roman" w:eastAsia="Times New Roman" w:hAnsi="Times New Roman" w:cs="Times New Roman"/>
      <w:lang w:eastAsia="it-IT"/>
    </w:rPr>
  </w:style>
  <w:style w:type="paragraph" w:customStyle="1" w:styleId="art">
    <w:name w:val="art"/>
    <w:basedOn w:val="Normale"/>
    <w:rsid w:val="008B6DC5"/>
    <w:pPr>
      <w:spacing w:before="100" w:beforeAutospacing="1" w:after="100" w:afterAutospacing="1"/>
    </w:pPr>
    <w:rPr>
      <w:rFonts w:ascii="Times New Roman" w:eastAsia="Times New Roman" w:hAnsi="Times New Roman" w:cs="Times New Roman"/>
      <w:lang w:eastAsia="it-IT"/>
    </w:rPr>
  </w:style>
  <w:style w:type="paragraph" w:customStyle="1" w:styleId="int">
    <w:name w:val="int"/>
    <w:basedOn w:val="Normale"/>
    <w:rsid w:val="008B6DC5"/>
    <w:pPr>
      <w:spacing w:before="100" w:beforeAutospacing="1" w:after="100" w:afterAutospacing="1"/>
    </w:pPr>
    <w:rPr>
      <w:rFonts w:ascii="Times New Roman" w:eastAsia="Times New Roman" w:hAnsi="Times New Roman" w:cs="Times New Roman"/>
      <w:lang w:eastAsia="it-IT"/>
    </w:rPr>
  </w:style>
  <w:style w:type="paragraph" w:styleId="NormaleWeb">
    <w:name w:val="Normal (Web)"/>
    <w:basedOn w:val="Normale"/>
    <w:uiPriority w:val="99"/>
    <w:unhideWhenUsed/>
    <w:rsid w:val="008B6DC5"/>
    <w:pPr>
      <w:spacing w:before="100" w:beforeAutospacing="1" w:after="100" w:afterAutospacing="1"/>
    </w:pPr>
    <w:rPr>
      <w:rFonts w:ascii="Times New Roman" w:eastAsia="Times New Roman" w:hAnsi="Times New Roman" w:cs="Times New Roman"/>
      <w:lang w:eastAsia="it-IT"/>
    </w:rPr>
  </w:style>
  <w:style w:type="paragraph" w:customStyle="1" w:styleId="firm">
    <w:name w:val="firm"/>
    <w:basedOn w:val="Normale"/>
    <w:rsid w:val="008B6DC5"/>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8B6DC5"/>
    <w:rPr>
      <w:color w:val="0000FF"/>
      <w:u w:val="single"/>
    </w:rPr>
  </w:style>
  <w:style w:type="paragraph" w:customStyle="1" w:styleId="emen">
    <w:name w:val="emen"/>
    <w:basedOn w:val="Normale"/>
    <w:rsid w:val="008B6DC5"/>
    <w:pPr>
      <w:spacing w:before="100" w:beforeAutospacing="1" w:after="100" w:afterAutospacing="1"/>
    </w:pPr>
    <w:rPr>
      <w:rFonts w:ascii="Times New Roman" w:eastAsia="Times New Roman" w:hAnsi="Times New Roman" w:cs="Times New Roman"/>
      <w:lang w:eastAsia="it-IT"/>
    </w:rPr>
  </w:style>
  <w:style w:type="paragraph" w:customStyle="1" w:styleId="rubr">
    <w:name w:val="rubr"/>
    <w:basedOn w:val="Normale"/>
    <w:rsid w:val="008B6DC5"/>
    <w:pPr>
      <w:spacing w:before="100" w:beforeAutospacing="1" w:after="100" w:afterAutospacing="1"/>
    </w:pPr>
    <w:rPr>
      <w:rFonts w:ascii="Times New Roman" w:eastAsia="Times New Roman" w:hAnsi="Times New Roman" w:cs="Times New Roman"/>
      <w:lang w:eastAsia="it-IT"/>
    </w:rPr>
  </w:style>
  <w:style w:type="paragraph" w:styleId="Revisione">
    <w:name w:val="Revision"/>
    <w:hidden/>
    <w:uiPriority w:val="99"/>
    <w:semiHidden/>
    <w:rsid w:val="00B82406"/>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1612"/>
    <w:pPr>
      <w:spacing w:after="0" w:line="240" w:lineRule="auto"/>
    </w:pPr>
    <w:rPr>
      <w:sz w:val="24"/>
      <w:szCs w:val="24"/>
    </w:rPr>
  </w:style>
  <w:style w:type="paragraph" w:styleId="Titolo1">
    <w:name w:val="heading 1"/>
    <w:basedOn w:val="Normale"/>
    <w:link w:val="Titolo1Carattere"/>
    <w:uiPriority w:val="9"/>
    <w:qFormat/>
    <w:rsid w:val="0040361D"/>
    <w:pPr>
      <w:widowControl w:val="0"/>
      <w:autoSpaceDE w:val="0"/>
      <w:autoSpaceDN w:val="0"/>
      <w:ind w:left="200" w:right="205"/>
      <w:jc w:val="center"/>
      <w:outlineLvl w:val="0"/>
    </w:pPr>
    <w:rPr>
      <w:rFonts w:ascii="Times New Roman" w:eastAsia="Times New Roman" w:hAnsi="Times New Roman" w:cs="Times New Roman"/>
      <w:b/>
      <w:bCs/>
      <w:i/>
      <w:iCs/>
      <w:sz w:val="23"/>
      <w:szCs w:val="23"/>
    </w:rPr>
  </w:style>
  <w:style w:type="paragraph" w:styleId="Titolo4">
    <w:name w:val="heading 4"/>
    <w:basedOn w:val="Normale"/>
    <w:next w:val="Normale"/>
    <w:link w:val="Titolo4Carattere"/>
    <w:uiPriority w:val="9"/>
    <w:semiHidden/>
    <w:unhideWhenUsed/>
    <w:qFormat/>
    <w:rsid w:val="0019788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E16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40361D"/>
    <w:rPr>
      <w:rFonts w:ascii="Times New Roman" w:eastAsia="Times New Roman" w:hAnsi="Times New Roman" w:cs="Times New Roman"/>
      <w:b/>
      <w:bCs/>
      <w:i/>
      <w:iCs/>
      <w:sz w:val="23"/>
      <w:szCs w:val="23"/>
    </w:rPr>
  </w:style>
  <w:style w:type="paragraph" w:styleId="Corpotesto">
    <w:name w:val="Body Text"/>
    <w:basedOn w:val="Normale"/>
    <w:link w:val="CorpotestoCarattere"/>
    <w:uiPriority w:val="1"/>
    <w:qFormat/>
    <w:rsid w:val="0040361D"/>
    <w:pPr>
      <w:widowControl w:val="0"/>
      <w:autoSpaceDE w:val="0"/>
      <w:autoSpaceDN w:val="0"/>
      <w:jc w:val="both"/>
    </w:pPr>
    <w:rPr>
      <w:rFonts w:ascii="Times New Roman" w:eastAsia="Times New Roman" w:hAnsi="Times New Roman" w:cs="Times New Roman"/>
      <w:sz w:val="23"/>
      <w:szCs w:val="23"/>
    </w:rPr>
  </w:style>
  <w:style w:type="character" w:customStyle="1" w:styleId="CorpotestoCarattere">
    <w:name w:val="Corpo testo Carattere"/>
    <w:basedOn w:val="Carpredefinitoparagrafo"/>
    <w:link w:val="Corpotesto"/>
    <w:uiPriority w:val="1"/>
    <w:rsid w:val="0040361D"/>
    <w:rPr>
      <w:rFonts w:ascii="Times New Roman" w:eastAsia="Times New Roman" w:hAnsi="Times New Roman" w:cs="Times New Roman"/>
      <w:sz w:val="23"/>
      <w:szCs w:val="23"/>
    </w:rPr>
  </w:style>
  <w:style w:type="paragraph" w:styleId="Paragrafoelenco">
    <w:name w:val="List Paragraph"/>
    <w:basedOn w:val="Normale"/>
    <w:uiPriority w:val="1"/>
    <w:qFormat/>
    <w:rsid w:val="0034458F"/>
    <w:pPr>
      <w:widowControl w:val="0"/>
      <w:autoSpaceDE w:val="0"/>
      <w:autoSpaceDN w:val="0"/>
      <w:spacing w:line="256" w:lineRule="exact"/>
      <w:ind w:left="877" w:hanging="418"/>
    </w:pPr>
    <w:rPr>
      <w:rFonts w:ascii="Times New Roman" w:eastAsia="Times New Roman" w:hAnsi="Times New Roman" w:cs="Times New Roman"/>
      <w:sz w:val="22"/>
      <w:szCs w:val="22"/>
    </w:rPr>
  </w:style>
  <w:style w:type="paragraph" w:styleId="Intestazione">
    <w:name w:val="header"/>
    <w:basedOn w:val="Normale"/>
    <w:link w:val="IntestazioneCarattere"/>
    <w:uiPriority w:val="99"/>
    <w:unhideWhenUsed/>
    <w:rsid w:val="009245A9"/>
    <w:pPr>
      <w:tabs>
        <w:tab w:val="center" w:pos="4819"/>
        <w:tab w:val="right" w:pos="9638"/>
      </w:tabs>
    </w:pPr>
  </w:style>
  <w:style w:type="character" w:customStyle="1" w:styleId="IntestazioneCarattere">
    <w:name w:val="Intestazione Carattere"/>
    <w:basedOn w:val="Carpredefinitoparagrafo"/>
    <w:link w:val="Intestazione"/>
    <w:uiPriority w:val="99"/>
    <w:rsid w:val="009245A9"/>
    <w:rPr>
      <w:sz w:val="24"/>
      <w:szCs w:val="24"/>
    </w:rPr>
  </w:style>
  <w:style w:type="paragraph" w:styleId="Pidipagina">
    <w:name w:val="footer"/>
    <w:basedOn w:val="Normale"/>
    <w:link w:val="PidipaginaCarattere"/>
    <w:uiPriority w:val="99"/>
    <w:unhideWhenUsed/>
    <w:rsid w:val="009245A9"/>
    <w:pPr>
      <w:tabs>
        <w:tab w:val="center" w:pos="4819"/>
        <w:tab w:val="right" w:pos="9638"/>
      </w:tabs>
    </w:pPr>
  </w:style>
  <w:style w:type="character" w:customStyle="1" w:styleId="PidipaginaCarattere">
    <w:name w:val="Piè di pagina Carattere"/>
    <w:basedOn w:val="Carpredefinitoparagrafo"/>
    <w:link w:val="Pidipagina"/>
    <w:uiPriority w:val="99"/>
    <w:rsid w:val="009245A9"/>
    <w:rPr>
      <w:sz w:val="24"/>
      <w:szCs w:val="24"/>
    </w:rPr>
  </w:style>
  <w:style w:type="paragraph" w:styleId="Testofumetto">
    <w:name w:val="Balloon Text"/>
    <w:basedOn w:val="Normale"/>
    <w:link w:val="TestofumettoCarattere"/>
    <w:uiPriority w:val="99"/>
    <w:semiHidden/>
    <w:unhideWhenUsed/>
    <w:rsid w:val="009F23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2341"/>
    <w:rPr>
      <w:rFonts w:ascii="Tahoma" w:hAnsi="Tahoma" w:cs="Tahoma"/>
      <w:sz w:val="16"/>
      <w:szCs w:val="16"/>
    </w:rPr>
  </w:style>
  <w:style w:type="character" w:customStyle="1" w:styleId="Titolo4Carattere">
    <w:name w:val="Titolo 4 Carattere"/>
    <w:basedOn w:val="Carpredefinitoparagrafo"/>
    <w:link w:val="Titolo4"/>
    <w:uiPriority w:val="9"/>
    <w:semiHidden/>
    <w:rsid w:val="0019788F"/>
    <w:rPr>
      <w:rFonts w:asciiTheme="majorHAnsi" w:eastAsiaTheme="majorEastAsia" w:hAnsiTheme="majorHAnsi" w:cstheme="majorBidi"/>
      <w:i/>
      <w:iCs/>
      <w:color w:val="2F5496" w:themeColor="accent1" w:themeShade="BF"/>
      <w:sz w:val="24"/>
      <w:szCs w:val="24"/>
    </w:rPr>
  </w:style>
  <w:style w:type="paragraph" w:customStyle="1" w:styleId="a6">
    <w:name w:val="a6"/>
    <w:basedOn w:val="Normale"/>
    <w:rsid w:val="008B6DC5"/>
    <w:pPr>
      <w:spacing w:before="100" w:beforeAutospacing="1" w:after="100" w:afterAutospacing="1"/>
    </w:pPr>
    <w:rPr>
      <w:rFonts w:ascii="Times New Roman" w:eastAsia="Times New Roman" w:hAnsi="Times New Roman" w:cs="Times New Roman"/>
      <w:lang w:eastAsia="it-IT"/>
    </w:rPr>
  </w:style>
  <w:style w:type="paragraph" w:customStyle="1" w:styleId="art">
    <w:name w:val="art"/>
    <w:basedOn w:val="Normale"/>
    <w:rsid w:val="008B6DC5"/>
    <w:pPr>
      <w:spacing w:before="100" w:beforeAutospacing="1" w:after="100" w:afterAutospacing="1"/>
    </w:pPr>
    <w:rPr>
      <w:rFonts w:ascii="Times New Roman" w:eastAsia="Times New Roman" w:hAnsi="Times New Roman" w:cs="Times New Roman"/>
      <w:lang w:eastAsia="it-IT"/>
    </w:rPr>
  </w:style>
  <w:style w:type="paragraph" w:customStyle="1" w:styleId="int">
    <w:name w:val="int"/>
    <w:basedOn w:val="Normale"/>
    <w:rsid w:val="008B6DC5"/>
    <w:pPr>
      <w:spacing w:before="100" w:beforeAutospacing="1" w:after="100" w:afterAutospacing="1"/>
    </w:pPr>
    <w:rPr>
      <w:rFonts w:ascii="Times New Roman" w:eastAsia="Times New Roman" w:hAnsi="Times New Roman" w:cs="Times New Roman"/>
      <w:lang w:eastAsia="it-IT"/>
    </w:rPr>
  </w:style>
  <w:style w:type="paragraph" w:styleId="NormaleWeb">
    <w:name w:val="Normal (Web)"/>
    <w:basedOn w:val="Normale"/>
    <w:uiPriority w:val="99"/>
    <w:unhideWhenUsed/>
    <w:rsid w:val="008B6DC5"/>
    <w:pPr>
      <w:spacing w:before="100" w:beforeAutospacing="1" w:after="100" w:afterAutospacing="1"/>
    </w:pPr>
    <w:rPr>
      <w:rFonts w:ascii="Times New Roman" w:eastAsia="Times New Roman" w:hAnsi="Times New Roman" w:cs="Times New Roman"/>
      <w:lang w:eastAsia="it-IT"/>
    </w:rPr>
  </w:style>
  <w:style w:type="paragraph" w:customStyle="1" w:styleId="firm">
    <w:name w:val="firm"/>
    <w:basedOn w:val="Normale"/>
    <w:rsid w:val="008B6DC5"/>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8B6DC5"/>
    <w:rPr>
      <w:color w:val="0000FF"/>
      <w:u w:val="single"/>
    </w:rPr>
  </w:style>
  <w:style w:type="paragraph" w:customStyle="1" w:styleId="emen">
    <w:name w:val="emen"/>
    <w:basedOn w:val="Normale"/>
    <w:rsid w:val="008B6DC5"/>
    <w:pPr>
      <w:spacing w:before="100" w:beforeAutospacing="1" w:after="100" w:afterAutospacing="1"/>
    </w:pPr>
    <w:rPr>
      <w:rFonts w:ascii="Times New Roman" w:eastAsia="Times New Roman" w:hAnsi="Times New Roman" w:cs="Times New Roman"/>
      <w:lang w:eastAsia="it-IT"/>
    </w:rPr>
  </w:style>
  <w:style w:type="paragraph" w:customStyle="1" w:styleId="rubr">
    <w:name w:val="rubr"/>
    <w:basedOn w:val="Normale"/>
    <w:rsid w:val="008B6DC5"/>
    <w:pPr>
      <w:spacing w:before="100" w:beforeAutospacing="1" w:after="100" w:afterAutospacing="1"/>
    </w:pPr>
    <w:rPr>
      <w:rFonts w:ascii="Times New Roman" w:eastAsia="Times New Roman" w:hAnsi="Times New Roman" w:cs="Times New Roman"/>
      <w:lang w:eastAsia="it-IT"/>
    </w:rPr>
  </w:style>
  <w:style w:type="paragraph" w:styleId="Revisione">
    <w:name w:val="Revision"/>
    <w:hidden/>
    <w:uiPriority w:val="99"/>
    <w:semiHidden/>
    <w:rsid w:val="00B8240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1384">
      <w:bodyDiv w:val="1"/>
      <w:marLeft w:val="0"/>
      <w:marRight w:val="0"/>
      <w:marTop w:val="0"/>
      <w:marBottom w:val="0"/>
      <w:divBdr>
        <w:top w:val="none" w:sz="0" w:space="0" w:color="auto"/>
        <w:left w:val="none" w:sz="0" w:space="0" w:color="auto"/>
        <w:bottom w:val="none" w:sz="0" w:space="0" w:color="auto"/>
        <w:right w:val="none" w:sz="0" w:space="0" w:color="auto"/>
      </w:divBdr>
    </w:div>
    <w:div w:id="287586760">
      <w:bodyDiv w:val="1"/>
      <w:marLeft w:val="0"/>
      <w:marRight w:val="0"/>
      <w:marTop w:val="0"/>
      <w:marBottom w:val="0"/>
      <w:divBdr>
        <w:top w:val="none" w:sz="0" w:space="0" w:color="auto"/>
        <w:left w:val="none" w:sz="0" w:space="0" w:color="auto"/>
        <w:bottom w:val="none" w:sz="0" w:space="0" w:color="auto"/>
        <w:right w:val="none" w:sz="0" w:space="0" w:color="auto"/>
      </w:divBdr>
    </w:div>
    <w:div w:id="303707602">
      <w:bodyDiv w:val="1"/>
      <w:marLeft w:val="0"/>
      <w:marRight w:val="0"/>
      <w:marTop w:val="0"/>
      <w:marBottom w:val="0"/>
      <w:divBdr>
        <w:top w:val="none" w:sz="0" w:space="0" w:color="auto"/>
        <w:left w:val="none" w:sz="0" w:space="0" w:color="auto"/>
        <w:bottom w:val="none" w:sz="0" w:space="0" w:color="auto"/>
        <w:right w:val="none" w:sz="0" w:space="0" w:color="auto"/>
      </w:divBdr>
    </w:div>
    <w:div w:id="424345992">
      <w:bodyDiv w:val="1"/>
      <w:marLeft w:val="0"/>
      <w:marRight w:val="0"/>
      <w:marTop w:val="0"/>
      <w:marBottom w:val="0"/>
      <w:divBdr>
        <w:top w:val="none" w:sz="0" w:space="0" w:color="auto"/>
        <w:left w:val="none" w:sz="0" w:space="0" w:color="auto"/>
        <w:bottom w:val="none" w:sz="0" w:space="0" w:color="auto"/>
        <w:right w:val="none" w:sz="0" w:space="0" w:color="auto"/>
      </w:divBdr>
    </w:div>
    <w:div w:id="444732867">
      <w:bodyDiv w:val="1"/>
      <w:marLeft w:val="0"/>
      <w:marRight w:val="0"/>
      <w:marTop w:val="0"/>
      <w:marBottom w:val="0"/>
      <w:divBdr>
        <w:top w:val="none" w:sz="0" w:space="0" w:color="auto"/>
        <w:left w:val="none" w:sz="0" w:space="0" w:color="auto"/>
        <w:bottom w:val="none" w:sz="0" w:space="0" w:color="auto"/>
        <w:right w:val="none" w:sz="0" w:space="0" w:color="auto"/>
      </w:divBdr>
    </w:div>
    <w:div w:id="463933896">
      <w:bodyDiv w:val="1"/>
      <w:marLeft w:val="0"/>
      <w:marRight w:val="0"/>
      <w:marTop w:val="0"/>
      <w:marBottom w:val="0"/>
      <w:divBdr>
        <w:top w:val="none" w:sz="0" w:space="0" w:color="auto"/>
        <w:left w:val="none" w:sz="0" w:space="0" w:color="auto"/>
        <w:bottom w:val="none" w:sz="0" w:space="0" w:color="auto"/>
        <w:right w:val="none" w:sz="0" w:space="0" w:color="auto"/>
      </w:divBdr>
    </w:div>
    <w:div w:id="507721904">
      <w:bodyDiv w:val="1"/>
      <w:marLeft w:val="0"/>
      <w:marRight w:val="0"/>
      <w:marTop w:val="0"/>
      <w:marBottom w:val="0"/>
      <w:divBdr>
        <w:top w:val="none" w:sz="0" w:space="0" w:color="auto"/>
        <w:left w:val="none" w:sz="0" w:space="0" w:color="auto"/>
        <w:bottom w:val="none" w:sz="0" w:space="0" w:color="auto"/>
        <w:right w:val="none" w:sz="0" w:space="0" w:color="auto"/>
      </w:divBdr>
    </w:div>
    <w:div w:id="536741253">
      <w:bodyDiv w:val="1"/>
      <w:marLeft w:val="0"/>
      <w:marRight w:val="0"/>
      <w:marTop w:val="0"/>
      <w:marBottom w:val="0"/>
      <w:divBdr>
        <w:top w:val="none" w:sz="0" w:space="0" w:color="auto"/>
        <w:left w:val="none" w:sz="0" w:space="0" w:color="auto"/>
        <w:bottom w:val="none" w:sz="0" w:space="0" w:color="auto"/>
        <w:right w:val="none" w:sz="0" w:space="0" w:color="auto"/>
      </w:divBdr>
    </w:div>
    <w:div w:id="644511157">
      <w:bodyDiv w:val="1"/>
      <w:marLeft w:val="0"/>
      <w:marRight w:val="0"/>
      <w:marTop w:val="0"/>
      <w:marBottom w:val="0"/>
      <w:divBdr>
        <w:top w:val="none" w:sz="0" w:space="0" w:color="auto"/>
        <w:left w:val="none" w:sz="0" w:space="0" w:color="auto"/>
        <w:bottom w:val="none" w:sz="0" w:space="0" w:color="auto"/>
        <w:right w:val="none" w:sz="0" w:space="0" w:color="auto"/>
      </w:divBdr>
    </w:div>
    <w:div w:id="655574690">
      <w:bodyDiv w:val="1"/>
      <w:marLeft w:val="0"/>
      <w:marRight w:val="0"/>
      <w:marTop w:val="0"/>
      <w:marBottom w:val="0"/>
      <w:divBdr>
        <w:top w:val="none" w:sz="0" w:space="0" w:color="auto"/>
        <w:left w:val="none" w:sz="0" w:space="0" w:color="auto"/>
        <w:bottom w:val="none" w:sz="0" w:space="0" w:color="auto"/>
        <w:right w:val="none" w:sz="0" w:space="0" w:color="auto"/>
      </w:divBdr>
    </w:div>
    <w:div w:id="754285170">
      <w:bodyDiv w:val="1"/>
      <w:marLeft w:val="0"/>
      <w:marRight w:val="0"/>
      <w:marTop w:val="0"/>
      <w:marBottom w:val="0"/>
      <w:divBdr>
        <w:top w:val="none" w:sz="0" w:space="0" w:color="auto"/>
        <w:left w:val="none" w:sz="0" w:space="0" w:color="auto"/>
        <w:bottom w:val="none" w:sz="0" w:space="0" w:color="auto"/>
        <w:right w:val="none" w:sz="0" w:space="0" w:color="auto"/>
      </w:divBdr>
    </w:div>
    <w:div w:id="763187314">
      <w:bodyDiv w:val="1"/>
      <w:marLeft w:val="0"/>
      <w:marRight w:val="0"/>
      <w:marTop w:val="0"/>
      <w:marBottom w:val="0"/>
      <w:divBdr>
        <w:top w:val="none" w:sz="0" w:space="0" w:color="auto"/>
        <w:left w:val="none" w:sz="0" w:space="0" w:color="auto"/>
        <w:bottom w:val="none" w:sz="0" w:space="0" w:color="auto"/>
        <w:right w:val="none" w:sz="0" w:space="0" w:color="auto"/>
      </w:divBdr>
    </w:div>
    <w:div w:id="856428858">
      <w:bodyDiv w:val="1"/>
      <w:marLeft w:val="0"/>
      <w:marRight w:val="0"/>
      <w:marTop w:val="0"/>
      <w:marBottom w:val="0"/>
      <w:divBdr>
        <w:top w:val="none" w:sz="0" w:space="0" w:color="auto"/>
        <w:left w:val="none" w:sz="0" w:space="0" w:color="auto"/>
        <w:bottom w:val="none" w:sz="0" w:space="0" w:color="auto"/>
        <w:right w:val="none" w:sz="0" w:space="0" w:color="auto"/>
      </w:divBdr>
    </w:div>
    <w:div w:id="889850260">
      <w:bodyDiv w:val="1"/>
      <w:marLeft w:val="0"/>
      <w:marRight w:val="0"/>
      <w:marTop w:val="0"/>
      <w:marBottom w:val="0"/>
      <w:divBdr>
        <w:top w:val="none" w:sz="0" w:space="0" w:color="auto"/>
        <w:left w:val="none" w:sz="0" w:space="0" w:color="auto"/>
        <w:bottom w:val="none" w:sz="0" w:space="0" w:color="auto"/>
        <w:right w:val="none" w:sz="0" w:space="0" w:color="auto"/>
      </w:divBdr>
    </w:div>
    <w:div w:id="912276165">
      <w:bodyDiv w:val="1"/>
      <w:marLeft w:val="0"/>
      <w:marRight w:val="0"/>
      <w:marTop w:val="0"/>
      <w:marBottom w:val="0"/>
      <w:divBdr>
        <w:top w:val="none" w:sz="0" w:space="0" w:color="auto"/>
        <w:left w:val="none" w:sz="0" w:space="0" w:color="auto"/>
        <w:bottom w:val="none" w:sz="0" w:space="0" w:color="auto"/>
        <w:right w:val="none" w:sz="0" w:space="0" w:color="auto"/>
      </w:divBdr>
    </w:div>
    <w:div w:id="1242180843">
      <w:bodyDiv w:val="1"/>
      <w:marLeft w:val="0"/>
      <w:marRight w:val="0"/>
      <w:marTop w:val="0"/>
      <w:marBottom w:val="0"/>
      <w:divBdr>
        <w:top w:val="none" w:sz="0" w:space="0" w:color="auto"/>
        <w:left w:val="none" w:sz="0" w:space="0" w:color="auto"/>
        <w:bottom w:val="none" w:sz="0" w:space="0" w:color="auto"/>
        <w:right w:val="none" w:sz="0" w:space="0" w:color="auto"/>
      </w:divBdr>
    </w:div>
    <w:div w:id="1282884256">
      <w:bodyDiv w:val="1"/>
      <w:marLeft w:val="0"/>
      <w:marRight w:val="0"/>
      <w:marTop w:val="0"/>
      <w:marBottom w:val="0"/>
      <w:divBdr>
        <w:top w:val="none" w:sz="0" w:space="0" w:color="auto"/>
        <w:left w:val="none" w:sz="0" w:space="0" w:color="auto"/>
        <w:bottom w:val="none" w:sz="0" w:space="0" w:color="auto"/>
        <w:right w:val="none" w:sz="0" w:space="0" w:color="auto"/>
      </w:divBdr>
    </w:div>
    <w:div w:id="1354384301">
      <w:bodyDiv w:val="1"/>
      <w:marLeft w:val="0"/>
      <w:marRight w:val="0"/>
      <w:marTop w:val="0"/>
      <w:marBottom w:val="0"/>
      <w:divBdr>
        <w:top w:val="none" w:sz="0" w:space="0" w:color="auto"/>
        <w:left w:val="none" w:sz="0" w:space="0" w:color="auto"/>
        <w:bottom w:val="none" w:sz="0" w:space="0" w:color="auto"/>
        <w:right w:val="none" w:sz="0" w:space="0" w:color="auto"/>
      </w:divBdr>
    </w:div>
    <w:div w:id="1534659914">
      <w:bodyDiv w:val="1"/>
      <w:marLeft w:val="0"/>
      <w:marRight w:val="0"/>
      <w:marTop w:val="0"/>
      <w:marBottom w:val="0"/>
      <w:divBdr>
        <w:top w:val="none" w:sz="0" w:space="0" w:color="auto"/>
        <w:left w:val="none" w:sz="0" w:space="0" w:color="auto"/>
        <w:bottom w:val="none" w:sz="0" w:space="0" w:color="auto"/>
        <w:right w:val="none" w:sz="0" w:space="0" w:color="auto"/>
      </w:divBdr>
    </w:div>
    <w:div w:id="1611668610">
      <w:bodyDiv w:val="1"/>
      <w:marLeft w:val="0"/>
      <w:marRight w:val="0"/>
      <w:marTop w:val="0"/>
      <w:marBottom w:val="0"/>
      <w:divBdr>
        <w:top w:val="none" w:sz="0" w:space="0" w:color="auto"/>
        <w:left w:val="none" w:sz="0" w:space="0" w:color="auto"/>
        <w:bottom w:val="none" w:sz="0" w:space="0" w:color="auto"/>
        <w:right w:val="none" w:sz="0" w:space="0" w:color="auto"/>
      </w:divBdr>
    </w:div>
    <w:div w:id="1644696339">
      <w:bodyDiv w:val="1"/>
      <w:marLeft w:val="0"/>
      <w:marRight w:val="0"/>
      <w:marTop w:val="0"/>
      <w:marBottom w:val="0"/>
      <w:divBdr>
        <w:top w:val="none" w:sz="0" w:space="0" w:color="auto"/>
        <w:left w:val="none" w:sz="0" w:space="0" w:color="auto"/>
        <w:bottom w:val="none" w:sz="0" w:space="0" w:color="auto"/>
        <w:right w:val="none" w:sz="0" w:space="0" w:color="auto"/>
      </w:divBdr>
    </w:div>
    <w:div w:id="1696927526">
      <w:bodyDiv w:val="1"/>
      <w:marLeft w:val="0"/>
      <w:marRight w:val="0"/>
      <w:marTop w:val="0"/>
      <w:marBottom w:val="0"/>
      <w:divBdr>
        <w:top w:val="none" w:sz="0" w:space="0" w:color="auto"/>
        <w:left w:val="none" w:sz="0" w:space="0" w:color="auto"/>
        <w:bottom w:val="none" w:sz="0" w:space="0" w:color="auto"/>
        <w:right w:val="none" w:sz="0" w:space="0" w:color="auto"/>
      </w:divBdr>
    </w:div>
    <w:div w:id="1703240179">
      <w:bodyDiv w:val="1"/>
      <w:marLeft w:val="0"/>
      <w:marRight w:val="0"/>
      <w:marTop w:val="0"/>
      <w:marBottom w:val="0"/>
      <w:divBdr>
        <w:top w:val="none" w:sz="0" w:space="0" w:color="auto"/>
        <w:left w:val="none" w:sz="0" w:space="0" w:color="auto"/>
        <w:bottom w:val="none" w:sz="0" w:space="0" w:color="auto"/>
        <w:right w:val="none" w:sz="0" w:space="0" w:color="auto"/>
      </w:divBdr>
    </w:div>
    <w:div w:id="1709061654">
      <w:bodyDiv w:val="1"/>
      <w:marLeft w:val="0"/>
      <w:marRight w:val="0"/>
      <w:marTop w:val="0"/>
      <w:marBottom w:val="0"/>
      <w:divBdr>
        <w:top w:val="none" w:sz="0" w:space="0" w:color="auto"/>
        <w:left w:val="none" w:sz="0" w:space="0" w:color="auto"/>
        <w:bottom w:val="none" w:sz="0" w:space="0" w:color="auto"/>
        <w:right w:val="none" w:sz="0" w:space="0" w:color="auto"/>
      </w:divBdr>
    </w:div>
    <w:div w:id="1724670172">
      <w:bodyDiv w:val="1"/>
      <w:marLeft w:val="0"/>
      <w:marRight w:val="0"/>
      <w:marTop w:val="0"/>
      <w:marBottom w:val="0"/>
      <w:divBdr>
        <w:top w:val="none" w:sz="0" w:space="0" w:color="auto"/>
        <w:left w:val="none" w:sz="0" w:space="0" w:color="auto"/>
        <w:bottom w:val="none" w:sz="0" w:space="0" w:color="auto"/>
        <w:right w:val="none" w:sz="0" w:space="0" w:color="auto"/>
      </w:divBdr>
    </w:div>
    <w:div w:id="1757627264">
      <w:bodyDiv w:val="1"/>
      <w:marLeft w:val="0"/>
      <w:marRight w:val="0"/>
      <w:marTop w:val="0"/>
      <w:marBottom w:val="0"/>
      <w:divBdr>
        <w:top w:val="none" w:sz="0" w:space="0" w:color="auto"/>
        <w:left w:val="none" w:sz="0" w:space="0" w:color="auto"/>
        <w:bottom w:val="none" w:sz="0" w:space="0" w:color="auto"/>
        <w:right w:val="none" w:sz="0" w:space="0" w:color="auto"/>
      </w:divBdr>
    </w:div>
    <w:div w:id="1784419350">
      <w:bodyDiv w:val="1"/>
      <w:marLeft w:val="0"/>
      <w:marRight w:val="0"/>
      <w:marTop w:val="0"/>
      <w:marBottom w:val="0"/>
      <w:divBdr>
        <w:top w:val="none" w:sz="0" w:space="0" w:color="auto"/>
        <w:left w:val="none" w:sz="0" w:space="0" w:color="auto"/>
        <w:bottom w:val="none" w:sz="0" w:space="0" w:color="auto"/>
        <w:right w:val="none" w:sz="0" w:space="0" w:color="auto"/>
      </w:divBdr>
    </w:div>
    <w:div w:id="1824199363">
      <w:bodyDiv w:val="1"/>
      <w:marLeft w:val="0"/>
      <w:marRight w:val="0"/>
      <w:marTop w:val="0"/>
      <w:marBottom w:val="0"/>
      <w:divBdr>
        <w:top w:val="none" w:sz="0" w:space="0" w:color="auto"/>
        <w:left w:val="none" w:sz="0" w:space="0" w:color="auto"/>
        <w:bottom w:val="none" w:sz="0" w:space="0" w:color="auto"/>
        <w:right w:val="none" w:sz="0" w:space="0" w:color="auto"/>
      </w:divBdr>
    </w:div>
    <w:div w:id="1896040016">
      <w:bodyDiv w:val="1"/>
      <w:marLeft w:val="0"/>
      <w:marRight w:val="0"/>
      <w:marTop w:val="0"/>
      <w:marBottom w:val="0"/>
      <w:divBdr>
        <w:top w:val="none" w:sz="0" w:space="0" w:color="auto"/>
        <w:left w:val="none" w:sz="0" w:space="0" w:color="auto"/>
        <w:bottom w:val="none" w:sz="0" w:space="0" w:color="auto"/>
        <w:right w:val="none" w:sz="0" w:space="0" w:color="auto"/>
      </w:divBdr>
    </w:div>
    <w:div w:id="1976328300">
      <w:bodyDiv w:val="1"/>
      <w:marLeft w:val="0"/>
      <w:marRight w:val="0"/>
      <w:marTop w:val="0"/>
      <w:marBottom w:val="0"/>
      <w:divBdr>
        <w:top w:val="none" w:sz="0" w:space="0" w:color="auto"/>
        <w:left w:val="none" w:sz="0" w:space="0" w:color="auto"/>
        <w:bottom w:val="none" w:sz="0" w:space="0" w:color="auto"/>
        <w:right w:val="none" w:sz="0" w:space="0" w:color="auto"/>
      </w:divBdr>
    </w:div>
    <w:div w:id="2008559913">
      <w:bodyDiv w:val="1"/>
      <w:marLeft w:val="0"/>
      <w:marRight w:val="0"/>
      <w:marTop w:val="0"/>
      <w:marBottom w:val="0"/>
      <w:divBdr>
        <w:top w:val="none" w:sz="0" w:space="0" w:color="auto"/>
        <w:left w:val="none" w:sz="0" w:space="0" w:color="auto"/>
        <w:bottom w:val="none" w:sz="0" w:space="0" w:color="auto"/>
        <w:right w:val="none" w:sz="0" w:space="0" w:color="auto"/>
      </w:divBdr>
    </w:div>
    <w:div w:id="2032342529">
      <w:bodyDiv w:val="1"/>
      <w:marLeft w:val="0"/>
      <w:marRight w:val="0"/>
      <w:marTop w:val="0"/>
      <w:marBottom w:val="0"/>
      <w:divBdr>
        <w:top w:val="none" w:sz="0" w:space="0" w:color="auto"/>
        <w:left w:val="none" w:sz="0" w:space="0" w:color="auto"/>
        <w:bottom w:val="none" w:sz="0" w:space="0" w:color="auto"/>
        <w:right w:val="none" w:sz="0" w:space="0" w:color="auto"/>
      </w:divBdr>
    </w:div>
    <w:div w:id="2039357229">
      <w:bodyDiv w:val="1"/>
      <w:marLeft w:val="0"/>
      <w:marRight w:val="0"/>
      <w:marTop w:val="0"/>
      <w:marBottom w:val="0"/>
      <w:divBdr>
        <w:top w:val="none" w:sz="0" w:space="0" w:color="auto"/>
        <w:left w:val="none" w:sz="0" w:space="0" w:color="auto"/>
        <w:bottom w:val="none" w:sz="0" w:space="0" w:color="auto"/>
        <w:right w:val="none" w:sz="0" w:space="0" w:color="auto"/>
      </w:divBdr>
    </w:div>
    <w:div w:id="20413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F171E-D58B-473C-B582-5C24E0DD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6469</Words>
  <Characters>36874</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Mariella Sorrenti</dc:creator>
  <cp:lastModifiedBy>Dota</cp:lastModifiedBy>
  <cp:revision>5</cp:revision>
  <cp:lastPrinted>2021-12-22T14:33:00Z</cp:lastPrinted>
  <dcterms:created xsi:type="dcterms:W3CDTF">2021-12-29T13:53:00Z</dcterms:created>
  <dcterms:modified xsi:type="dcterms:W3CDTF">2021-12-29T14:16:00Z</dcterms:modified>
</cp:coreProperties>
</file>