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CF2" w:rsidRDefault="00A11CF2" w:rsidP="00A11CF2">
      <w:pPr>
        <w:spacing w:line="360" w:lineRule="auto"/>
        <w:jc w:val="center"/>
        <w:rPr>
          <w:rFonts w:ascii="Bookman Old Style" w:hAnsi="Bookman Old Style"/>
          <w:b/>
          <w:bCs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1DEE429C" wp14:editId="587E27EC">
            <wp:extent cx="870585" cy="87058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E59" w:rsidRDefault="00644E59" w:rsidP="00A11CF2">
      <w:pPr>
        <w:spacing w:line="360" w:lineRule="auto"/>
        <w:jc w:val="center"/>
        <w:rPr>
          <w:rFonts w:ascii="Bookman Old Style" w:hAnsi="Bookman Old Style"/>
          <w:b/>
          <w:bCs/>
          <w:lang w:val="it-IT"/>
        </w:rPr>
      </w:pPr>
    </w:p>
    <w:p w:rsidR="00A11CF2" w:rsidRDefault="00A11CF2" w:rsidP="00A11CF2">
      <w:pPr>
        <w:spacing w:line="360" w:lineRule="auto"/>
        <w:jc w:val="center"/>
        <w:rPr>
          <w:rFonts w:ascii="Bookman Old Style" w:hAnsi="Bookman Old Style"/>
          <w:b/>
          <w:bCs/>
          <w:lang w:val="it-IT"/>
        </w:rPr>
      </w:pPr>
    </w:p>
    <w:p w:rsidR="00C00B3B" w:rsidRPr="00C00B3B" w:rsidRDefault="002149BE" w:rsidP="0036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Bookman Old Style" w:hAnsi="Bookman Old Style"/>
          <w:b/>
          <w:bCs/>
          <w:lang w:val="it-IT"/>
        </w:rPr>
      </w:pPr>
      <w:r>
        <w:rPr>
          <w:rFonts w:ascii="Bookman Old Style" w:hAnsi="Bookman Old Style"/>
          <w:b/>
          <w:bCs/>
          <w:lang w:val="it-IT"/>
        </w:rPr>
        <w:t xml:space="preserve">PRIMA </w:t>
      </w:r>
      <w:r w:rsidR="008E2902" w:rsidRPr="00C00B3B">
        <w:rPr>
          <w:rFonts w:ascii="Bookman Old Style" w:hAnsi="Bookman Old Style"/>
          <w:b/>
          <w:bCs/>
          <w:lang w:val="it-IT"/>
        </w:rPr>
        <w:t>NOTA SULLE MODIFICHE ALL’INDENNITÀ DEI SINDACI METROPOLITAN</w:t>
      </w:r>
      <w:r w:rsidR="00BC6CD2">
        <w:rPr>
          <w:rFonts w:ascii="Bookman Old Style" w:hAnsi="Bookman Old Style"/>
          <w:b/>
          <w:bCs/>
          <w:lang w:val="it-IT"/>
        </w:rPr>
        <w:t>I</w:t>
      </w:r>
      <w:r w:rsidR="008E2902" w:rsidRPr="00C00B3B">
        <w:rPr>
          <w:rFonts w:ascii="Bookman Old Style" w:hAnsi="Bookman Old Style"/>
          <w:b/>
          <w:bCs/>
          <w:lang w:val="it-IT"/>
        </w:rPr>
        <w:t xml:space="preserve">, DEI SINDACI E DEGLI AMMINISTRATORI LOCALI INTRODOTTE </w:t>
      </w:r>
      <w:r w:rsidR="00363CC4" w:rsidRPr="00363CC4">
        <w:rPr>
          <w:rFonts w:ascii="Bookman Old Style" w:hAnsi="Bookman Old Style"/>
          <w:b/>
          <w:bCs/>
          <w:lang w:val="it-IT"/>
        </w:rPr>
        <w:t xml:space="preserve">DALL’ARTICOLO 1 COMMI DA </w:t>
      </w:r>
      <w:r w:rsidR="00363CC4">
        <w:rPr>
          <w:rFonts w:ascii="Bookman Old Style" w:hAnsi="Bookman Old Style"/>
          <w:b/>
          <w:bCs/>
          <w:lang w:val="it-IT"/>
        </w:rPr>
        <w:t xml:space="preserve">583 a 587 </w:t>
      </w:r>
      <w:r w:rsidR="008E2902" w:rsidRPr="00C00B3B">
        <w:rPr>
          <w:rFonts w:ascii="Bookman Old Style" w:hAnsi="Bookman Old Style"/>
          <w:b/>
          <w:bCs/>
          <w:lang w:val="it-IT"/>
        </w:rPr>
        <w:t>DELLA LEGGE DI BILANCIO</w:t>
      </w:r>
      <w:r w:rsidR="00363CC4">
        <w:rPr>
          <w:rFonts w:ascii="Bookman Old Style" w:hAnsi="Bookman Old Style"/>
          <w:b/>
          <w:bCs/>
          <w:lang w:val="it-IT"/>
        </w:rPr>
        <w:t xml:space="preserve"> PER IL 2022</w:t>
      </w:r>
    </w:p>
    <w:p w:rsidR="00C00B3B" w:rsidRDefault="00C00B3B" w:rsidP="0036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bCs/>
          <w:color w:val="002060"/>
          <w:lang w:val="it-IT"/>
        </w:rPr>
      </w:pPr>
    </w:p>
    <w:p w:rsidR="00C00B3B" w:rsidRPr="00AA3ED2" w:rsidRDefault="00956640" w:rsidP="00C00B3B">
      <w:pPr>
        <w:rPr>
          <w:rFonts w:ascii="Bookman Old Style" w:hAnsi="Bookman Old Style"/>
          <w:b/>
          <w:bCs/>
          <w:i/>
          <w:iCs/>
          <w:lang w:val="it-IT"/>
        </w:rPr>
      </w:pPr>
      <w:r w:rsidRPr="00AA3ED2">
        <w:rPr>
          <w:rFonts w:ascii="Bookman Old Style" w:hAnsi="Bookman Old Style"/>
          <w:b/>
          <w:bCs/>
          <w:i/>
          <w:iCs/>
          <w:lang w:val="it-IT"/>
        </w:rPr>
        <w:t>Premessa</w:t>
      </w:r>
    </w:p>
    <w:p w:rsidR="00CA459F" w:rsidRPr="00CA459F" w:rsidRDefault="00004042" w:rsidP="009F36A3">
      <w:pPr>
        <w:spacing w:line="360" w:lineRule="auto"/>
        <w:jc w:val="both"/>
        <w:rPr>
          <w:rFonts w:ascii="Bookman Old Style" w:hAnsi="Bookman Old Style"/>
          <w:color w:val="000000"/>
          <w:shd w:val="clear" w:color="auto" w:fill="FFFFFF"/>
          <w:lang w:val="it-IT"/>
        </w:rPr>
      </w:pPr>
      <w:r>
        <w:rPr>
          <w:rFonts w:ascii="Bookman Old Style" w:hAnsi="Bookman Old Style"/>
          <w:color w:val="000000"/>
          <w:shd w:val="clear" w:color="auto" w:fill="FFFFFF"/>
          <w:lang w:val="it-IT"/>
        </w:rPr>
        <w:t>L</w:t>
      </w:r>
      <w:r w:rsidR="00FE7CAA" w:rsidRPr="00060F3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a </w:t>
      </w:r>
      <w:r w:rsidR="00FE7CAA">
        <w:rPr>
          <w:rFonts w:ascii="Bookman Old Style" w:hAnsi="Bookman Old Style"/>
          <w:color w:val="000000"/>
          <w:shd w:val="clear" w:color="auto" w:fill="FFFFFF"/>
          <w:lang w:val="it-IT"/>
        </w:rPr>
        <w:t>L</w:t>
      </w:r>
      <w:r w:rsidR="00FE7CAA" w:rsidRPr="00060F3F">
        <w:rPr>
          <w:rFonts w:ascii="Bookman Old Style" w:hAnsi="Bookman Old Style"/>
          <w:color w:val="000000"/>
          <w:shd w:val="clear" w:color="auto" w:fill="FFFFFF"/>
          <w:lang w:val="it-IT"/>
        </w:rPr>
        <w:t>egge di Bilancio</w:t>
      </w:r>
      <w:r w:rsidR="00FE7CAA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2022 </w:t>
      </w:r>
      <w:r w:rsidR="002149BE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approvata in via definitiva dal Parlamento il 29 dicembre u.s., </w:t>
      </w:r>
      <w:r w:rsidR="00FE7CAA" w:rsidRPr="00060F3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</w:t>
      </w:r>
      <w:r>
        <w:rPr>
          <w:rFonts w:ascii="Bookman Old Style" w:hAnsi="Bookman Old Style"/>
          <w:color w:val="000000"/>
          <w:shd w:val="clear" w:color="auto" w:fill="FFFFFF"/>
          <w:lang w:val="it-IT"/>
        </w:rPr>
        <w:t>prevede, a</w:t>
      </w:r>
      <w:r w:rsidR="00A11CF2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i commi da 583 a 587, </w:t>
      </w:r>
      <w:r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</w:t>
      </w:r>
      <w:r w:rsidR="00F647EF">
        <w:rPr>
          <w:rFonts w:ascii="Bookman Old Style" w:hAnsi="Bookman Old Style"/>
          <w:color w:val="000000"/>
          <w:shd w:val="clear" w:color="auto" w:fill="FFFFFF"/>
          <w:lang w:val="it-IT"/>
        </w:rPr>
        <w:t>un incremento delle i</w:t>
      </w:r>
      <w:r w:rsidR="00CA459F"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ndennità di funzione dei </w:t>
      </w:r>
      <w:r w:rsidR="008E2902">
        <w:rPr>
          <w:rFonts w:ascii="Bookman Old Style" w:hAnsi="Bookman Old Style"/>
          <w:color w:val="000000"/>
          <w:shd w:val="clear" w:color="auto" w:fill="FFFFFF"/>
          <w:lang w:val="it-IT"/>
        </w:rPr>
        <w:t>Sindac</w:t>
      </w:r>
      <w:r w:rsidR="00CA459F"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i </w:t>
      </w:r>
      <w:r w:rsidR="00BC49D3">
        <w:rPr>
          <w:rFonts w:ascii="Bookman Old Style" w:hAnsi="Bookman Old Style"/>
          <w:color w:val="000000"/>
          <w:shd w:val="clear" w:color="auto" w:fill="FFFFFF"/>
          <w:lang w:val="it-IT"/>
        </w:rPr>
        <w:t>dei Comuni capoluogo sede di città metropolitana</w:t>
      </w:r>
      <w:r w:rsidR="00CA459F"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e dei </w:t>
      </w:r>
      <w:r w:rsidR="008E2902">
        <w:rPr>
          <w:rFonts w:ascii="Bookman Old Style" w:hAnsi="Bookman Old Style"/>
          <w:color w:val="000000"/>
          <w:shd w:val="clear" w:color="auto" w:fill="FFFFFF"/>
          <w:lang w:val="it-IT"/>
        </w:rPr>
        <w:t>Sindac</w:t>
      </w:r>
      <w:r w:rsidR="00CA459F"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i dei </w:t>
      </w:r>
      <w:r w:rsidR="007911F3">
        <w:rPr>
          <w:rFonts w:ascii="Bookman Old Style" w:hAnsi="Bookman Old Style"/>
          <w:color w:val="000000"/>
          <w:shd w:val="clear" w:color="auto" w:fill="FFFFFF"/>
          <w:lang w:val="it-IT"/>
        </w:rPr>
        <w:t>C</w:t>
      </w:r>
      <w:r w:rsidR="00CA459F"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omuni delle </w:t>
      </w:r>
      <w:r w:rsidR="007911F3">
        <w:rPr>
          <w:rFonts w:ascii="Bookman Old Style" w:hAnsi="Bookman Old Style"/>
          <w:color w:val="000000"/>
          <w:shd w:val="clear" w:color="auto" w:fill="FFFFFF"/>
          <w:lang w:val="it-IT"/>
        </w:rPr>
        <w:t>R</w:t>
      </w:r>
      <w:r w:rsidR="00CA459F"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egioni a statuto ordinario in </w:t>
      </w:r>
      <w:r w:rsidR="00F647EF" w:rsidRPr="009F36A3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una misura </w:t>
      </w:r>
      <w:r w:rsidR="00CA459F"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>percentuale</w:t>
      </w:r>
      <w:r w:rsidR="00BC49D3">
        <w:rPr>
          <w:rFonts w:ascii="Bookman Old Style" w:hAnsi="Bookman Old Style"/>
          <w:color w:val="000000"/>
          <w:shd w:val="clear" w:color="auto" w:fill="FFFFFF"/>
          <w:lang w:val="it-IT"/>
        </w:rPr>
        <w:t>, proporzionata alla popolazione,</w:t>
      </w:r>
      <w:r w:rsidR="00040F41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</w:t>
      </w:r>
      <w:r w:rsidR="00CA459F"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al trattamento economico complessivo dei </w:t>
      </w:r>
      <w:r w:rsidR="007911F3">
        <w:rPr>
          <w:rFonts w:ascii="Bookman Old Style" w:hAnsi="Bookman Old Style"/>
          <w:color w:val="000000"/>
          <w:shd w:val="clear" w:color="auto" w:fill="FFFFFF"/>
          <w:lang w:val="it-IT"/>
        </w:rPr>
        <w:t>P</w:t>
      </w:r>
      <w:r w:rsidR="00CA459F"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residenti delle </w:t>
      </w:r>
      <w:r w:rsidR="007911F3">
        <w:rPr>
          <w:rFonts w:ascii="Bookman Old Style" w:hAnsi="Bookman Old Style"/>
          <w:color w:val="000000"/>
          <w:shd w:val="clear" w:color="auto" w:fill="FFFFFF"/>
          <w:lang w:val="it-IT"/>
        </w:rPr>
        <w:t>R</w:t>
      </w:r>
      <w:r w:rsidR="00CA459F"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>egioni</w:t>
      </w:r>
      <w:r w:rsidR="00FE7CAA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</w:t>
      </w:r>
      <w:r w:rsidR="00AA3ED2">
        <w:rPr>
          <w:rFonts w:ascii="Bookman Old Style" w:hAnsi="Bookman Old Style"/>
          <w:color w:val="000000"/>
          <w:shd w:val="clear" w:color="auto" w:fill="FFFFFF"/>
          <w:lang w:val="it-IT"/>
        </w:rPr>
        <w:t>(</w:t>
      </w:r>
      <w:r w:rsidR="00AA3ED2" w:rsidRPr="00AA3ED2">
        <w:rPr>
          <w:rFonts w:ascii="Bookman Old Style" w:hAnsi="Bookman Old Style"/>
          <w:color w:val="000000"/>
          <w:shd w:val="clear" w:color="auto" w:fill="FFFFFF"/>
          <w:lang w:val="it-IT"/>
        </w:rPr>
        <w:t>attualmente pari a 13.800 euro lordi mensili</w:t>
      </w:r>
      <w:r w:rsidR="00A53AE1">
        <w:rPr>
          <w:rFonts w:ascii="Bookman Old Style" w:hAnsi="Bookman Old Style"/>
          <w:color w:val="000000"/>
          <w:shd w:val="clear" w:color="auto" w:fill="FFFFFF"/>
          <w:lang w:val="it-IT"/>
        </w:rPr>
        <w:t>)</w:t>
      </w:r>
      <w:r w:rsidR="00CA459F"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>. </w:t>
      </w:r>
    </w:p>
    <w:p w:rsidR="00CA459F" w:rsidRDefault="00CA459F" w:rsidP="00EE5BFD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color w:val="000000"/>
          <w:shd w:val="clear" w:color="auto" w:fill="FFFFFF"/>
          <w:lang w:val="it-IT"/>
        </w:rPr>
      </w:pPr>
      <w:r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Anche le indennità di funzione di </w:t>
      </w:r>
      <w:r w:rsidR="007911F3">
        <w:rPr>
          <w:rFonts w:ascii="Bookman Old Style" w:hAnsi="Bookman Old Style"/>
          <w:color w:val="000000"/>
          <w:shd w:val="clear" w:color="auto" w:fill="FFFFFF"/>
          <w:lang w:val="it-IT"/>
        </w:rPr>
        <w:t>V</w:t>
      </w:r>
      <w:r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icesindaci, </w:t>
      </w:r>
      <w:r w:rsidR="007911F3">
        <w:rPr>
          <w:rFonts w:ascii="Bookman Old Style" w:hAnsi="Bookman Old Style"/>
          <w:color w:val="000000"/>
          <w:shd w:val="clear" w:color="auto" w:fill="FFFFFF"/>
          <w:lang w:val="it-IT"/>
        </w:rPr>
        <w:t>A</w:t>
      </w:r>
      <w:r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ssessori e </w:t>
      </w:r>
      <w:r w:rsidR="007911F3">
        <w:rPr>
          <w:rFonts w:ascii="Bookman Old Style" w:hAnsi="Bookman Old Style"/>
          <w:color w:val="000000"/>
          <w:shd w:val="clear" w:color="auto" w:fill="FFFFFF"/>
          <w:lang w:val="it-IT"/>
        </w:rPr>
        <w:t>P</w:t>
      </w:r>
      <w:r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residenti dei </w:t>
      </w:r>
      <w:r w:rsidR="007911F3">
        <w:rPr>
          <w:rFonts w:ascii="Bookman Old Style" w:hAnsi="Bookman Old Style"/>
          <w:color w:val="000000"/>
          <w:shd w:val="clear" w:color="auto" w:fill="FFFFFF"/>
          <w:lang w:val="it-IT"/>
        </w:rPr>
        <w:t>C</w:t>
      </w:r>
      <w:r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onsigli comunali saranno adeguate alle indennità di funzione dei corrispondenti </w:t>
      </w:r>
      <w:r w:rsidR="008E2902">
        <w:rPr>
          <w:rFonts w:ascii="Bookman Old Style" w:hAnsi="Bookman Old Style"/>
          <w:color w:val="000000"/>
          <w:shd w:val="clear" w:color="auto" w:fill="FFFFFF"/>
          <w:lang w:val="it-IT"/>
        </w:rPr>
        <w:t>Sindac</w:t>
      </w:r>
      <w:r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>i con l’applicazione delle percentuali vigenti</w:t>
      </w:r>
      <w:r w:rsidR="00004042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nel DM 119/2000</w:t>
      </w:r>
      <w:r w:rsidRPr="00CA459F">
        <w:rPr>
          <w:rFonts w:ascii="Bookman Old Style" w:hAnsi="Bookman Old Style"/>
          <w:color w:val="000000"/>
          <w:shd w:val="clear" w:color="auto" w:fill="FFFFFF"/>
          <w:lang w:val="it-IT"/>
        </w:rPr>
        <w:t>.</w:t>
      </w:r>
      <w:r w:rsid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Si ricorda che l’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ammontare </w:t>
      </w:r>
      <w:r w:rsid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di tali 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indennità è attualmente proporzionale a quella dei </w:t>
      </w:r>
      <w:r w:rsidR="00EE5BFD">
        <w:rPr>
          <w:rFonts w:ascii="Bookman Old Style" w:hAnsi="Bookman Old Style"/>
          <w:color w:val="000000"/>
          <w:shd w:val="clear" w:color="auto" w:fill="FFFFFF"/>
          <w:lang w:val="it-IT"/>
        </w:rPr>
        <w:t>S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>indaci, in una misura</w:t>
      </w:r>
      <w:r w:rsid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>che varia in rapporto alla classe demografica dell’ente locale: dal 15 al 75% per il</w:t>
      </w:r>
      <w:r w:rsid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V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icesindaco, </w:t>
      </w:r>
      <w:r w:rsidR="00644E59">
        <w:rPr>
          <w:rFonts w:ascii="Bookman Old Style" w:hAnsi="Bookman Old Style"/>
          <w:color w:val="000000"/>
          <w:shd w:val="clear" w:color="auto" w:fill="FFFFFF"/>
          <w:lang w:val="it-IT"/>
        </w:rPr>
        <w:t>dal 10 al 65% per gli Assessori,</w:t>
      </w:r>
      <w:r w:rsidR="00644E59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dal 5 al 10%</w:t>
      </w:r>
      <w:r w:rsidR="00644E59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per il </w:t>
      </w:r>
      <w:r w:rsidR="00EE5BFD">
        <w:rPr>
          <w:rFonts w:ascii="Bookman Old Style" w:hAnsi="Bookman Old Style"/>
          <w:color w:val="000000"/>
          <w:shd w:val="clear" w:color="auto" w:fill="FFFFFF"/>
          <w:lang w:val="it-IT"/>
        </w:rPr>
        <w:t>P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residente del </w:t>
      </w:r>
      <w:r w:rsidR="00EE5BFD">
        <w:rPr>
          <w:rFonts w:ascii="Bookman Old Style" w:hAnsi="Bookman Old Style"/>
          <w:color w:val="000000"/>
          <w:shd w:val="clear" w:color="auto" w:fill="FFFFFF"/>
          <w:lang w:val="it-IT"/>
        </w:rPr>
        <w:t>C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>onsiglio comunale per i comuni fino a 15.00</w:t>
      </w:r>
      <w:r w:rsidR="00EE5BFD">
        <w:rPr>
          <w:rFonts w:ascii="Bookman Old Style" w:hAnsi="Bookman Old Style"/>
          <w:color w:val="000000"/>
          <w:shd w:val="clear" w:color="auto" w:fill="FFFFFF"/>
          <w:lang w:val="it-IT"/>
        </w:rPr>
        <w:t>0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abitanti</w:t>
      </w:r>
      <w:r w:rsidR="00644E59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mentre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per quelli con popolazione superiore è corrisposta</w:t>
      </w:r>
      <w:r w:rsid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>un'indennità mensile di funzione pari a quella degli assessori d</w:t>
      </w:r>
      <w:r w:rsidR="00644E59">
        <w:rPr>
          <w:rFonts w:ascii="Bookman Old Style" w:hAnsi="Bookman Old Style"/>
          <w:color w:val="000000"/>
          <w:shd w:val="clear" w:color="auto" w:fill="FFFFFF"/>
          <w:lang w:val="it-IT"/>
        </w:rPr>
        <w:t>e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i </w:t>
      </w:r>
      <w:r w:rsidR="00644E59">
        <w:rPr>
          <w:rFonts w:ascii="Bookman Old Style" w:hAnsi="Bookman Old Style"/>
          <w:color w:val="000000"/>
          <w:shd w:val="clear" w:color="auto" w:fill="FFFFFF"/>
          <w:lang w:val="it-IT"/>
        </w:rPr>
        <w:t>C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>omuni della stessa</w:t>
      </w:r>
      <w:r w:rsidR="00EE5BFD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</w:t>
      </w:r>
      <w:r w:rsidR="00EE5BFD" w:rsidRPr="00EE5BFD">
        <w:rPr>
          <w:rFonts w:ascii="Bookman Old Style" w:hAnsi="Bookman Old Style"/>
          <w:color w:val="000000"/>
          <w:shd w:val="clear" w:color="auto" w:fill="FFFFFF"/>
          <w:lang w:val="it-IT"/>
        </w:rPr>
        <w:t>classe demografica</w:t>
      </w:r>
      <w:r w:rsidR="00644E59">
        <w:rPr>
          <w:rFonts w:ascii="Bookman Old Style" w:hAnsi="Bookman Old Style"/>
          <w:color w:val="000000"/>
          <w:shd w:val="clear" w:color="auto" w:fill="FFFFFF"/>
          <w:lang w:val="it-IT"/>
        </w:rPr>
        <w:t>.</w:t>
      </w:r>
    </w:p>
    <w:p w:rsidR="00436AFA" w:rsidRDefault="00436AFA" w:rsidP="00436AFA">
      <w:pPr>
        <w:shd w:val="clear" w:color="auto" w:fill="FFFFFF"/>
        <w:spacing w:after="0" w:line="360" w:lineRule="auto"/>
        <w:jc w:val="both"/>
        <w:rPr>
          <w:rFonts w:ascii="Bookman Old Style" w:hAnsi="Bookman Old Style"/>
          <w:b/>
          <w:bCs/>
          <w:i/>
          <w:iCs/>
          <w:color w:val="000000"/>
          <w:shd w:val="clear" w:color="auto" w:fill="FFFFFF"/>
          <w:lang w:val="it-IT"/>
        </w:rPr>
      </w:pPr>
    </w:p>
    <w:p w:rsidR="009F36A3" w:rsidRPr="00A47708" w:rsidRDefault="009F36A3" w:rsidP="00A47708">
      <w:pPr>
        <w:pStyle w:val="Paragrafoelenco"/>
        <w:numPr>
          <w:ilvl w:val="0"/>
          <w:numId w:val="9"/>
        </w:numPr>
        <w:shd w:val="clear" w:color="auto" w:fill="FFFFFF"/>
        <w:spacing w:after="100" w:afterAutospacing="1" w:line="360" w:lineRule="auto"/>
        <w:jc w:val="both"/>
        <w:rPr>
          <w:rFonts w:ascii="Bookman Old Style" w:hAnsi="Bookman Old Style"/>
          <w:b/>
          <w:bCs/>
          <w:i/>
          <w:iCs/>
          <w:color w:val="000000"/>
          <w:shd w:val="clear" w:color="auto" w:fill="FFFFFF"/>
        </w:rPr>
      </w:pPr>
      <w:r w:rsidRPr="00A47708">
        <w:rPr>
          <w:rFonts w:ascii="Bookman Old Style" w:hAnsi="Bookman Old Style"/>
          <w:b/>
          <w:bCs/>
          <w:i/>
          <w:iCs/>
          <w:color w:val="000000"/>
          <w:shd w:val="clear" w:color="auto" w:fill="FFFFFF"/>
        </w:rPr>
        <w:t xml:space="preserve">L’articolo </w:t>
      </w:r>
      <w:r w:rsidR="00A11CF2" w:rsidRPr="00A47708">
        <w:rPr>
          <w:rFonts w:ascii="Bookman Old Style" w:hAnsi="Bookman Old Style"/>
          <w:b/>
          <w:bCs/>
          <w:i/>
          <w:iCs/>
          <w:color w:val="000000"/>
          <w:shd w:val="clear" w:color="auto" w:fill="FFFFFF"/>
        </w:rPr>
        <w:t xml:space="preserve">1 </w:t>
      </w:r>
      <w:r w:rsidR="002149BE" w:rsidRPr="00A47708">
        <w:rPr>
          <w:rFonts w:ascii="Bookman Old Style" w:hAnsi="Bookman Old Style"/>
          <w:b/>
          <w:bCs/>
          <w:i/>
          <w:iCs/>
          <w:color w:val="000000"/>
          <w:shd w:val="clear" w:color="auto" w:fill="FFFFFF"/>
        </w:rPr>
        <w:t>commi da 583 a</w:t>
      </w:r>
      <w:r w:rsidR="00A11CF2" w:rsidRPr="00A47708">
        <w:rPr>
          <w:rFonts w:ascii="Bookman Old Style" w:hAnsi="Bookman Old Style"/>
          <w:b/>
          <w:bCs/>
          <w:i/>
          <w:iCs/>
          <w:color w:val="000000"/>
          <w:shd w:val="clear" w:color="auto" w:fill="FFFFFF"/>
        </w:rPr>
        <w:t xml:space="preserve"> 587 </w:t>
      </w:r>
      <w:r w:rsidRPr="00A47708">
        <w:rPr>
          <w:rFonts w:ascii="Bookman Old Style" w:hAnsi="Bookman Old Style"/>
          <w:b/>
          <w:bCs/>
          <w:i/>
          <w:iCs/>
          <w:color w:val="000000"/>
          <w:shd w:val="clear" w:color="auto" w:fill="FFFFFF"/>
        </w:rPr>
        <w:t xml:space="preserve">della Legge di </w:t>
      </w:r>
      <w:r w:rsidR="00B51D4B" w:rsidRPr="00A47708">
        <w:rPr>
          <w:rFonts w:ascii="Bookman Old Style" w:hAnsi="Bookman Old Style"/>
          <w:b/>
          <w:bCs/>
          <w:i/>
          <w:iCs/>
          <w:color w:val="000000"/>
          <w:shd w:val="clear" w:color="auto" w:fill="FFFFFF"/>
        </w:rPr>
        <w:t>B</w:t>
      </w:r>
      <w:r w:rsidRPr="00A47708">
        <w:rPr>
          <w:rFonts w:ascii="Bookman Old Style" w:hAnsi="Bookman Old Style"/>
          <w:b/>
          <w:bCs/>
          <w:i/>
          <w:iCs/>
          <w:color w:val="000000"/>
          <w:shd w:val="clear" w:color="auto" w:fill="FFFFFF"/>
        </w:rPr>
        <w:t>ilancio</w:t>
      </w:r>
      <w:r w:rsidR="00053A05" w:rsidRPr="00A47708">
        <w:rPr>
          <w:rFonts w:ascii="Bookman Old Style" w:hAnsi="Bookman Old Style"/>
          <w:b/>
          <w:bCs/>
          <w:i/>
          <w:iCs/>
          <w:color w:val="000000"/>
          <w:shd w:val="clear" w:color="auto" w:fill="FFFFFF"/>
        </w:rPr>
        <w:t xml:space="preserve"> 2022</w:t>
      </w:r>
    </w:p>
    <w:p w:rsidR="009F36A3" w:rsidRPr="007872EB" w:rsidRDefault="009F36A3" w:rsidP="007872EB">
      <w:pPr>
        <w:pStyle w:val="Corpotesto"/>
        <w:spacing w:line="360" w:lineRule="auto"/>
        <w:ind w:right="49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</w:pPr>
      <w:r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 xml:space="preserve">Il </w:t>
      </w:r>
      <w:r w:rsidRPr="007872EB">
        <w:rPr>
          <w:rFonts w:ascii="Bookman Old Style" w:eastAsiaTheme="minorHAnsi" w:hAnsi="Bookman Old Style" w:cstheme="minorBidi"/>
          <w:color w:val="000000"/>
          <w:sz w:val="22"/>
          <w:szCs w:val="22"/>
          <w:u w:val="single"/>
          <w:shd w:val="clear" w:color="auto" w:fill="FFFFFF"/>
        </w:rPr>
        <w:t xml:space="preserve">comma </w:t>
      </w:r>
      <w:r w:rsidR="00A11CF2">
        <w:rPr>
          <w:rFonts w:ascii="Bookman Old Style" w:eastAsiaTheme="minorHAnsi" w:hAnsi="Bookman Old Style" w:cstheme="minorBidi"/>
          <w:color w:val="000000"/>
          <w:sz w:val="22"/>
          <w:szCs w:val="22"/>
          <w:u w:val="single"/>
          <w:shd w:val="clear" w:color="auto" w:fill="FFFFFF"/>
        </w:rPr>
        <w:t>58</w:t>
      </w:r>
      <w:r w:rsidR="001B0C35">
        <w:rPr>
          <w:rFonts w:ascii="Bookman Old Style" w:eastAsiaTheme="minorHAnsi" w:hAnsi="Bookman Old Style" w:cstheme="minorBidi"/>
          <w:color w:val="000000"/>
          <w:sz w:val="22"/>
          <w:szCs w:val="22"/>
          <w:u w:val="single"/>
          <w:shd w:val="clear" w:color="auto" w:fill="FFFFFF"/>
        </w:rPr>
        <w:t>3</w:t>
      </w:r>
      <w:r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B51D4B"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>dell’articolo 1</w:t>
      </w:r>
      <w:r w:rsidR="001B0C35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 xml:space="preserve"> </w:t>
      </w:r>
      <w:r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 xml:space="preserve">prevede che, </w:t>
      </w:r>
      <w:r w:rsidRPr="001B0C35">
        <w:rPr>
          <w:rFonts w:ascii="Bookman Old Style" w:eastAsiaTheme="minorHAnsi" w:hAnsi="Bookman Old Style" w:cstheme="minorBidi"/>
          <w:b/>
          <w:bCs/>
          <w:color w:val="000000"/>
          <w:sz w:val="22"/>
          <w:szCs w:val="22"/>
          <w:shd w:val="clear" w:color="auto" w:fill="FFFFFF"/>
        </w:rPr>
        <w:t>a decorrere dal 2024</w:t>
      </w:r>
      <w:r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>, l</w:t>
      </w:r>
      <w:r w:rsidR="00AA3ED2"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>’</w:t>
      </w:r>
      <w:r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 xml:space="preserve">indennità di funzione dei </w:t>
      </w:r>
      <w:r w:rsidR="008E2902"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>Sindac</w:t>
      </w:r>
      <w:r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 xml:space="preserve">i metropolitani e dei </w:t>
      </w:r>
      <w:r w:rsidR="008E2902"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>Sindac</w:t>
      </w:r>
      <w:r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>i dei comuni ubicati nelle regioni a statuto ordinario, sia parametrat</w:t>
      </w:r>
      <w:r w:rsidR="00114811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>a</w:t>
      </w:r>
      <w:r w:rsidRPr="007872EB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</w:rPr>
        <w:t xml:space="preserve"> al trattamento economico complessivo dei presidenti delle regioni sulla base delle seguenti percentuali che tengono conto della popolazione residente:</w:t>
      </w:r>
    </w:p>
    <w:p w:rsidR="009F36A3" w:rsidRPr="009F36A3" w:rsidRDefault="009F36A3" w:rsidP="00AA3ED2">
      <w:pPr>
        <w:pStyle w:val="Paragrafoelenco"/>
        <w:numPr>
          <w:ilvl w:val="0"/>
          <w:numId w:val="1"/>
        </w:numPr>
        <w:tabs>
          <w:tab w:val="left" w:pos="877"/>
          <w:tab w:val="left" w:pos="878"/>
        </w:tabs>
        <w:spacing w:line="360" w:lineRule="auto"/>
        <w:jc w:val="both"/>
        <w:rPr>
          <w:rFonts w:ascii="Bookman Old Style" w:hAnsi="Bookman Old Style"/>
        </w:rPr>
      </w:pPr>
      <w:r w:rsidRPr="00AA3ED2">
        <w:rPr>
          <w:rFonts w:ascii="Bookman Old Style" w:hAnsi="Bookman Old Style"/>
          <w:b/>
          <w:bCs/>
        </w:rPr>
        <w:lastRenderedPageBreak/>
        <w:t>100 per cento</w:t>
      </w:r>
      <w:r w:rsidRPr="009F36A3">
        <w:rPr>
          <w:rFonts w:ascii="Bookman Old Style" w:hAnsi="Bookman Old Style"/>
        </w:rPr>
        <w:t xml:space="preserve"> per i </w:t>
      </w:r>
      <w:r w:rsidRPr="00AA3ED2">
        <w:rPr>
          <w:rFonts w:ascii="Bookman Old Style" w:hAnsi="Bookman Old Style"/>
          <w:b/>
          <w:bCs/>
        </w:rPr>
        <w:t>sindaci metropolitani</w:t>
      </w:r>
      <w:r w:rsidRPr="009F36A3">
        <w:rPr>
          <w:rFonts w:ascii="Bookman Old Style" w:hAnsi="Bookman Old Style"/>
        </w:rPr>
        <w:t>;</w:t>
      </w:r>
    </w:p>
    <w:p w:rsidR="009F36A3" w:rsidRPr="009F36A3" w:rsidRDefault="009F36A3" w:rsidP="00AA3ED2">
      <w:pPr>
        <w:pStyle w:val="Paragrafoelenco"/>
        <w:numPr>
          <w:ilvl w:val="0"/>
          <w:numId w:val="1"/>
        </w:numPr>
        <w:tabs>
          <w:tab w:val="left" w:pos="882"/>
          <w:tab w:val="left" w:pos="883"/>
        </w:tabs>
        <w:spacing w:before="4" w:line="360" w:lineRule="auto"/>
        <w:ind w:right="197"/>
        <w:jc w:val="both"/>
        <w:rPr>
          <w:rFonts w:ascii="Bookman Old Style" w:hAnsi="Bookman Old Style"/>
        </w:rPr>
      </w:pPr>
      <w:r w:rsidRPr="00AA3ED2">
        <w:rPr>
          <w:rFonts w:ascii="Bookman Old Style" w:hAnsi="Bookman Old Style"/>
          <w:b/>
          <w:bCs/>
        </w:rPr>
        <w:t>80 per cento</w:t>
      </w:r>
      <w:r w:rsidRPr="009F36A3">
        <w:rPr>
          <w:rFonts w:ascii="Bookman Old Style" w:hAnsi="Bookman Old Style"/>
        </w:rPr>
        <w:t xml:space="preserve"> per i sindaci dei </w:t>
      </w:r>
      <w:r w:rsidRPr="00AA3ED2">
        <w:rPr>
          <w:rFonts w:ascii="Bookman Old Style" w:hAnsi="Bookman Old Style"/>
          <w:b/>
          <w:bCs/>
        </w:rPr>
        <w:t>comuni capoluogo di regione</w:t>
      </w:r>
      <w:r w:rsidRPr="009F36A3">
        <w:rPr>
          <w:rFonts w:ascii="Bookman Old Style" w:hAnsi="Bookman Old Style"/>
        </w:rPr>
        <w:t xml:space="preserve"> e per i sindaci dei comuni </w:t>
      </w:r>
      <w:r w:rsidRPr="00AA3ED2">
        <w:rPr>
          <w:rFonts w:ascii="Bookman Old Style" w:hAnsi="Bookman Old Style"/>
          <w:b/>
          <w:bCs/>
        </w:rPr>
        <w:t>capoluogo di provincia con popolazione superiore a 100.000 abitanti</w:t>
      </w:r>
      <w:r w:rsidRPr="009F36A3">
        <w:rPr>
          <w:rFonts w:ascii="Bookman Old Style" w:hAnsi="Bookman Old Style"/>
        </w:rPr>
        <w:t>;</w:t>
      </w:r>
    </w:p>
    <w:p w:rsidR="009F36A3" w:rsidRPr="009F36A3" w:rsidRDefault="009F36A3" w:rsidP="002F0636">
      <w:pPr>
        <w:pStyle w:val="Corpotesto"/>
        <w:numPr>
          <w:ilvl w:val="0"/>
          <w:numId w:val="1"/>
        </w:numPr>
        <w:tabs>
          <w:tab w:val="left" w:pos="881"/>
        </w:tabs>
        <w:spacing w:line="360" w:lineRule="auto"/>
        <w:ind w:right="49"/>
        <w:rPr>
          <w:rFonts w:ascii="Bookman Old Style" w:hAnsi="Bookman Old Style"/>
          <w:sz w:val="22"/>
          <w:szCs w:val="22"/>
        </w:rPr>
      </w:pPr>
      <w:r w:rsidRPr="00AA3ED2">
        <w:rPr>
          <w:rFonts w:ascii="Bookman Old Style" w:hAnsi="Bookman Old Style"/>
          <w:b/>
          <w:bCs/>
          <w:sz w:val="22"/>
          <w:szCs w:val="22"/>
        </w:rPr>
        <w:t>70 per cento</w:t>
      </w:r>
      <w:r w:rsidRPr="009F36A3">
        <w:rPr>
          <w:rFonts w:ascii="Bookman Old Style" w:hAnsi="Bookman Old Style"/>
          <w:sz w:val="22"/>
          <w:szCs w:val="22"/>
        </w:rPr>
        <w:t xml:space="preserve"> per i sindaci dei </w:t>
      </w:r>
      <w:r w:rsidRPr="00AA3ED2">
        <w:rPr>
          <w:rFonts w:ascii="Bookman Old Style" w:hAnsi="Bookman Old Style"/>
          <w:b/>
          <w:bCs/>
          <w:sz w:val="22"/>
          <w:szCs w:val="22"/>
        </w:rPr>
        <w:t xml:space="preserve">comuni capoluogo di provincia con popolazione </w:t>
      </w:r>
      <w:r w:rsidR="00AA3ED2" w:rsidRPr="00AA3ED2">
        <w:rPr>
          <w:rFonts w:ascii="Bookman Old Style" w:hAnsi="Bookman Old Style"/>
          <w:b/>
          <w:bCs/>
          <w:sz w:val="22"/>
          <w:szCs w:val="22"/>
        </w:rPr>
        <w:t>f</w:t>
      </w:r>
      <w:r w:rsidRPr="00AA3ED2">
        <w:rPr>
          <w:rFonts w:ascii="Bookman Old Style" w:hAnsi="Bookman Old Style"/>
          <w:b/>
          <w:bCs/>
          <w:sz w:val="22"/>
          <w:szCs w:val="22"/>
        </w:rPr>
        <w:t>ino a 100.000 abitanti</w:t>
      </w:r>
      <w:r w:rsidRPr="009F36A3">
        <w:rPr>
          <w:rFonts w:ascii="Bookman Old Style" w:hAnsi="Bookman Old Style"/>
          <w:sz w:val="22"/>
          <w:szCs w:val="22"/>
        </w:rPr>
        <w:t>;</w:t>
      </w:r>
    </w:p>
    <w:p w:rsidR="009F36A3" w:rsidRPr="009F36A3" w:rsidRDefault="009F36A3" w:rsidP="00AA3ED2">
      <w:pPr>
        <w:pStyle w:val="Paragrafoelenco"/>
        <w:numPr>
          <w:ilvl w:val="0"/>
          <w:numId w:val="1"/>
        </w:numPr>
        <w:tabs>
          <w:tab w:val="left" w:pos="885"/>
          <w:tab w:val="left" w:pos="886"/>
        </w:tabs>
        <w:spacing w:line="360" w:lineRule="auto"/>
        <w:jc w:val="both"/>
        <w:rPr>
          <w:rFonts w:ascii="Bookman Old Style" w:hAnsi="Bookman Old Style"/>
        </w:rPr>
      </w:pPr>
      <w:r w:rsidRPr="00AA3ED2">
        <w:rPr>
          <w:rFonts w:ascii="Bookman Old Style" w:hAnsi="Bookman Old Style"/>
          <w:b/>
          <w:bCs/>
        </w:rPr>
        <w:t>45 per cento</w:t>
      </w:r>
      <w:r w:rsidRPr="009F36A3">
        <w:rPr>
          <w:rFonts w:ascii="Bookman Old Style" w:hAnsi="Bookman Old Style"/>
        </w:rPr>
        <w:t xml:space="preserve"> per i sindaci dei </w:t>
      </w:r>
      <w:r w:rsidRPr="00AA3ED2">
        <w:rPr>
          <w:rFonts w:ascii="Bookman Old Style" w:hAnsi="Bookman Old Style"/>
          <w:b/>
          <w:bCs/>
        </w:rPr>
        <w:t>comuni con popolazione superiore a 50.000 abitanti</w:t>
      </w:r>
      <w:r w:rsidRPr="009F36A3">
        <w:rPr>
          <w:rFonts w:ascii="Bookman Old Style" w:hAnsi="Bookman Old Style"/>
        </w:rPr>
        <w:t>;</w:t>
      </w:r>
    </w:p>
    <w:p w:rsidR="009F36A3" w:rsidRPr="009F36A3" w:rsidRDefault="009F36A3" w:rsidP="00AA3ED2">
      <w:pPr>
        <w:pStyle w:val="Paragrafoelenco"/>
        <w:numPr>
          <w:ilvl w:val="0"/>
          <w:numId w:val="1"/>
        </w:numPr>
        <w:tabs>
          <w:tab w:val="left" w:pos="880"/>
          <w:tab w:val="left" w:pos="881"/>
        </w:tabs>
        <w:spacing w:line="360" w:lineRule="auto"/>
        <w:jc w:val="both"/>
        <w:rPr>
          <w:rFonts w:ascii="Bookman Old Style" w:hAnsi="Bookman Old Style"/>
        </w:rPr>
      </w:pPr>
      <w:r w:rsidRPr="00AA3ED2">
        <w:rPr>
          <w:rFonts w:ascii="Bookman Old Style" w:hAnsi="Bookman Old Style"/>
          <w:b/>
          <w:bCs/>
        </w:rPr>
        <w:t>35 per cento</w:t>
      </w:r>
      <w:r w:rsidRPr="009F36A3">
        <w:rPr>
          <w:rFonts w:ascii="Bookman Old Style" w:hAnsi="Bookman Old Style"/>
        </w:rPr>
        <w:t xml:space="preserve"> per i sindaci </w:t>
      </w:r>
      <w:r w:rsidR="00114811">
        <w:rPr>
          <w:rFonts w:ascii="Bookman Old Style" w:hAnsi="Bookman Old Style"/>
        </w:rPr>
        <w:t xml:space="preserve">dei </w:t>
      </w:r>
      <w:r w:rsidRPr="00AA3ED2">
        <w:rPr>
          <w:rFonts w:ascii="Bookman Old Style" w:hAnsi="Bookman Old Style"/>
          <w:b/>
          <w:bCs/>
        </w:rPr>
        <w:t>comuni con popolazione da 30.001 a 50.000 abitanti</w:t>
      </w:r>
      <w:r w:rsidRPr="009F36A3">
        <w:rPr>
          <w:rFonts w:ascii="Bookman Old Style" w:hAnsi="Bookman Old Style"/>
        </w:rPr>
        <w:t>;</w:t>
      </w:r>
    </w:p>
    <w:p w:rsidR="009F36A3" w:rsidRPr="009F36A3" w:rsidRDefault="009F36A3" w:rsidP="00AA3ED2">
      <w:pPr>
        <w:pStyle w:val="Paragrafoelenco"/>
        <w:numPr>
          <w:ilvl w:val="0"/>
          <w:numId w:val="1"/>
        </w:numPr>
        <w:tabs>
          <w:tab w:val="left" w:pos="873"/>
          <w:tab w:val="left" w:pos="874"/>
        </w:tabs>
        <w:spacing w:line="360" w:lineRule="auto"/>
        <w:jc w:val="both"/>
        <w:rPr>
          <w:rFonts w:ascii="Bookman Old Style" w:hAnsi="Bookman Old Style"/>
        </w:rPr>
      </w:pPr>
      <w:r w:rsidRPr="00AA3ED2">
        <w:rPr>
          <w:rFonts w:ascii="Bookman Old Style" w:hAnsi="Bookman Old Style"/>
          <w:b/>
          <w:bCs/>
        </w:rPr>
        <w:t>30 per cento</w:t>
      </w:r>
      <w:r w:rsidRPr="009F36A3">
        <w:rPr>
          <w:rFonts w:ascii="Bookman Old Style" w:hAnsi="Bookman Old Style"/>
        </w:rPr>
        <w:t xml:space="preserve"> per i sindaci dei </w:t>
      </w:r>
      <w:r w:rsidRPr="00AA3ED2">
        <w:rPr>
          <w:rFonts w:ascii="Bookman Old Style" w:hAnsi="Bookman Old Style"/>
          <w:b/>
          <w:bCs/>
        </w:rPr>
        <w:t>comuni con popolazione da 10.001 a 30.000 abitanti</w:t>
      </w:r>
      <w:r w:rsidRPr="009F36A3">
        <w:rPr>
          <w:rFonts w:ascii="Bookman Old Style" w:hAnsi="Bookman Old Style"/>
        </w:rPr>
        <w:t>;</w:t>
      </w:r>
    </w:p>
    <w:p w:rsidR="009F36A3" w:rsidRPr="009F36A3" w:rsidRDefault="009F36A3" w:rsidP="00AA3ED2">
      <w:pPr>
        <w:pStyle w:val="Paragrafoelenco"/>
        <w:numPr>
          <w:ilvl w:val="0"/>
          <w:numId w:val="1"/>
        </w:numPr>
        <w:tabs>
          <w:tab w:val="left" w:pos="877"/>
          <w:tab w:val="left" w:pos="878"/>
        </w:tabs>
        <w:spacing w:line="360" w:lineRule="auto"/>
        <w:jc w:val="both"/>
        <w:rPr>
          <w:rFonts w:ascii="Bookman Old Style" w:hAnsi="Bookman Old Style"/>
        </w:rPr>
      </w:pPr>
      <w:r w:rsidRPr="00AA3ED2">
        <w:rPr>
          <w:rFonts w:ascii="Bookman Old Style" w:hAnsi="Bookman Old Style"/>
          <w:b/>
          <w:bCs/>
        </w:rPr>
        <w:t>29 per cento</w:t>
      </w:r>
      <w:r w:rsidRPr="009F36A3">
        <w:rPr>
          <w:rFonts w:ascii="Bookman Old Style" w:hAnsi="Bookman Old Style"/>
        </w:rPr>
        <w:t xml:space="preserve"> per i sindaci dei </w:t>
      </w:r>
      <w:r w:rsidRPr="00AA3ED2">
        <w:rPr>
          <w:rFonts w:ascii="Bookman Old Style" w:hAnsi="Bookman Old Style"/>
          <w:b/>
          <w:bCs/>
        </w:rPr>
        <w:t>comuni con popolazione da 5.001 a 10.000 abitanti</w:t>
      </w:r>
      <w:r w:rsidRPr="009F36A3">
        <w:rPr>
          <w:rFonts w:ascii="Bookman Old Style" w:hAnsi="Bookman Old Style"/>
        </w:rPr>
        <w:t>;</w:t>
      </w:r>
    </w:p>
    <w:p w:rsidR="009F36A3" w:rsidRPr="009F36A3" w:rsidRDefault="009F36A3" w:rsidP="00AA3ED2">
      <w:pPr>
        <w:pStyle w:val="Paragrafoelenco"/>
        <w:numPr>
          <w:ilvl w:val="0"/>
          <w:numId w:val="1"/>
        </w:numPr>
        <w:tabs>
          <w:tab w:val="left" w:pos="877"/>
          <w:tab w:val="left" w:pos="878"/>
        </w:tabs>
        <w:spacing w:line="360" w:lineRule="auto"/>
        <w:jc w:val="both"/>
        <w:rPr>
          <w:rFonts w:ascii="Bookman Old Style" w:hAnsi="Bookman Old Style"/>
        </w:rPr>
      </w:pPr>
      <w:r w:rsidRPr="00AA3ED2">
        <w:rPr>
          <w:rFonts w:ascii="Bookman Old Style" w:hAnsi="Bookman Old Style"/>
          <w:b/>
          <w:bCs/>
        </w:rPr>
        <w:t>22 per cento</w:t>
      </w:r>
      <w:r w:rsidRPr="009F36A3">
        <w:rPr>
          <w:rFonts w:ascii="Bookman Old Style" w:hAnsi="Bookman Old Style"/>
        </w:rPr>
        <w:t xml:space="preserve"> per i sindaci dei </w:t>
      </w:r>
      <w:r w:rsidRPr="00AA3ED2">
        <w:rPr>
          <w:rFonts w:ascii="Bookman Old Style" w:hAnsi="Bookman Old Style"/>
          <w:b/>
          <w:bCs/>
        </w:rPr>
        <w:t>comuni con popolazione da 3.001 a 5.000 abitanti</w:t>
      </w:r>
      <w:r w:rsidRPr="009F36A3">
        <w:rPr>
          <w:rFonts w:ascii="Bookman Old Style" w:hAnsi="Bookman Old Style"/>
        </w:rPr>
        <w:t>;</w:t>
      </w:r>
    </w:p>
    <w:p w:rsidR="009F36A3" w:rsidRDefault="009F36A3" w:rsidP="00AA3ED2">
      <w:pPr>
        <w:pStyle w:val="Paragrafoelenco"/>
        <w:numPr>
          <w:ilvl w:val="0"/>
          <w:numId w:val="1"/>
        </w:numPr>
        <w:tabs>
          <w:tab w:val="left" w:pos="877"/>
          <w:tab w:val="left" w:pos="878"/>
        </w:tabs>
        <w:spacing w:line="360" w:lineRule="auto"/>
        <w:jc w:val="both"/>
        <w:rPr>
          <w:rFonts w:ascii="Bookman Old Style" w:hAnsi="Bookman Old Style"/>
        </w:rPr>
      </w:pPr>
      <w:r w:rsidRPr="00AA3ED2">
        <w:rPr>
          <w:rFonts w:ascii="Bookman Old Style" w:hAnsi="Bookman Old Style"/>
          <w:b/>
          <w:bCs/>
        </w:rPr>
        <w:t>16 per cento</w:t>
      </w:r>
      <w:r w:rsidRPr="009F36A3">
        <w:rPr>
          <w:rFonts w:ascii="Bookman Old Style" w:hAnsi="Bookman Old Style"/>
        </w:rPr>
        <w:t xml:space="preserve"> per i sindaci </w:t>
      </w:r>
      <w:r w:rsidRPr="00AA3ED2">
        <w:rPr>
          <w:rFonts w:ascii="Bookman Old Style" w:hAnsi="Bookman Old Style"/>
          <w:b/>
          <w:bCs/>
        </w:rPr>
        <w:t>comuni con popolazione fino a 3.000 abitanti</w:t>
      </w:r>
      <w:r w:rsidRPr="009F36A3">
        <w:rPr>
          <w:rFonts w:ascii="Bookman Old Style" w:hAnsi="Bookman Old Style"/>
        </w:rPr>
        <w:t>.</w:t>
      </w:r>
    </w:p>
    <w:p w:rsidR="0030519D" w:rsidRPr="0030519D" w:rsidRDefault="0030519D" w:rsidP="0030519D">
      <w:pPr>
        <w:tabs>
          <w:tab w:val="left" w:pos="877"/>
          <w:tab w:val="left" w:pos="878"/>
        </w:tabs>
        <w:spacing w:line="360" w:lineRule="auto"/>
        <w:jc w:val="both"/>
        <w:rPr>
          <w:rFonts w:ascii="Bookman Old Style" w:hAnsi="Bookman Old Style"/>
          <w:lang w:val="it-IT"/>
        </w:rPr>
      </w:pPr>
    </w:p>
    <w:p w:rsidR="0030519D" w:rsidRPr="0030519D" w:rsidRDefault="0030519D" w:rsidP="0030519D">
      <w:pPr>
        <w:tabs>
          <w:tab w:val="left" w:pos="877"/>
          <w:tab w:val="left" w:pos="878"/>
        </w:tabs>
        <w:spacing w:line="36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Rispetto alle fasce </w:t>
      </w:r>
      <w:r w:rsidR="00DF1FDE">
        <w:rPr>
          <w:rFonts w:ascii="Bookman Old Style" w:hAnsi="Bookman Old Style"/>
          <w:lang w:val="it-IT"/>
        </w:rPr>
        <w:t xml:space="preserve">dei Comuni che la norma distingue </w:t>
      </w:r>
      <w:r w:rsidR="008B3909">
        <w:rPr>
          <w:rFonts w:ascii="Bookman Old Style" w:hAnsi="Bookman Old Style"/>
          <w:lang w:val="it-IT"/>
        </w:rPr>
        <w:t>in base alla popolazione, va specificato che – in base al tenore letterale della norma - tutti i Sindaci dei Comuni Capoluogo di Provincia</w:t>
      </w:r>
      <w:r w:rsidR="00A63938">
        <w:rPr>
          <w:rFonts w:ascii="Bookman Old Style" w:hAnsi="Bookman Old Style"/>
          <w:lang w:val="it-IT"/>
        </w:rPr>
        <w:t xml:space="preserve"> </w:t>
      </w:r>
      <w:r w:rsidR="00524651">
        <w:rPr>
          <w:rFonts w:ascii="Bookman Old Style" w:hAnsi="Bookman Old Style"/>
          <w:lang w:val="it-IT"/>
        </w:rPr>
        <w:t>con popolazione pari o al</w:t>
      </w:r>
      <w:r w:rsidR="00DF556A">
        <w:rPr>
          <w:rFonts w:ascii="Bookman Old Style" w:hAnsi="Bookman Old Style"/>
          <w:lang w:val="it-IT"/>
        </w:rPr>
        <w:t xml:space="preserve"> di sotto di </w:t>
      </w:r>
      <w:r w:rsidR="00A63938">
        <w:rPr>
          <w:rFonts w:ascii="Bookman Old Style" w:hAnsi="Bookman Old Style"/>
          <w:lang w:val="it-IT"/>
        </w:rPr>
        <w:t>100mila abitanti</w:t>
      </w:r>
      <w:r w:rsidR="008B3909">
        <w:rPr>
          <w:rFonts w:ascii="Bookman Old Style" w:hAnsi="Bookman Old Style"/>
          <w:lang w:val="it-IT"/>
        </w:rPr>
        <w:t xml:space="preserve">, rientrano nel parametro della fascia c). </w:t>
      </w:r>
    </w:p>
    <w:p w:rsidR="00145598" w:rsidRDefault="00145598" w:rsidP="007872EB">
      <w:pPr>
        <w:pStyle w:val="Corpotesto"/>
        <w:spacing w:after="240" w:line="360" w:lineRule="auto"/>
        <w:ind w:right="4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E’ prevista inoltre (</w:t>
      </w:r>
      <w:r w:rsidR="00FB5522" w:rsidRPr="00FB5522">
        <w:rPr>
          <w:rFonts w:ascii="Bookman Old Style" w:hAnsi="Bookman Old Style"/>
          <w:sz w:val="22"/>
          <w:szCs w:val="22"/>
          <w:u w:val="single"/>
        </w:rPr>
        <w:t xml:space="preserve">comma </w:t>
      </w:r>
      <w:r w:rsidR="001B0C35">
        <w:rPr>
          <w:rFonts w:ascii="Bookman Old Style" w:hAnsi="Bookman Old Style"/>
          <w:sz w:val="22"/>
          <w:szCs w:val="22"/>
          <w:u w:val="single"/>
        </w:rPr>
        <w:t>584</w:t>
      </w:r>
      <w:r>
        <w:rPr>
          <w:rFonts w:ascii="Bookman Old Style" w:hAnsi="Bookman Old Style"/>
          <w:sz w:val="22"/>
          <w:szCs w:val="22"/>
          <w:u w:val="single"/>
        </w:rPr>
        <w:t xml:space="preserve"> )</w:t>
      </w:r>
      <w:r w:rsidR="00FB5522">
        <w:rPr>
          <w:rFonts w:ascii="Bookman Old Style" w:hAnsi="Bookman Old Style"/>
          <w:sz w:val="22"/>
          <w:szCs w:val="22"/>
        </w:rPr>
        <w:t xml:space="preserve">, </w:t>
      </w:r>
      <w:r w:rsidR="009F36A3" w:rsidRPr="009F36A3">
        <w:rPr>
          <w:rFonts w:ascii="Bookman Old Style" w:hAnsi="Bookman Old Style"/>
          <w:sz w:val="22"/>
          <w:szCs w:val="22"/>
        </w:rPr>
        <w:t xml:space="preserve">che, </w:t>
      </w:r>
      <w:r w:rsidR="009F36A3" w:rsidRPr="001B0C35">
        <w:rPr>
          <w:rFonts w:ascii="Bookman Old Style" w:hAnsi="Bookman Old Style"/>
          <w:b/>
          <w:bCs/>
          <w:sz w:val="22"/>
          <w:szCs w:val="22"/>
        </w:rPr>
        <w:t>in sede di prima applicazione</w:t>
      </w:r>
      <w:r w:rsidR="009F36A3" w:rsidRPr="009F36A3">
        <w:rPr>
          <w:rFonts w:ascii="Bookman Old Style" w:hAnsi="Bookman Old Style"/>
          <w:sz w:val="22"/>
          <w:szCs w:val="22"/>
        </w:rPr>
        <w:t xml:space="preserve">, tale indennità di funzione </w:t>
      </w:r>
      <w:r w:rsidR="009F36A3" w:rsidRPr="00145598">
        <w:rPr>
          <w:rFonts w:ascii="Bookman Old Style" w:hAnsi="Bookman Old Style"/>
          <w:b/>
          <w:i/>
          <w:sz w:val="22"/>
          <w:szCs w:val="22"/>
        </w:rPr>
        <w:t>sia adeguata</w:t>
      </w:r>
      <w:r w:rsidR="009F36A3" w:rsidRPr="009F36A3">
        <w:rPr>
          <w:rFonts w:ascii="Bookman Old Style" w:hAnsi="Bookman Old Style"/>
          <w:sz w:val="22"/>
          <w:szCs w:val="22"/>
        </w:rPr>
        <w:t xml:space="preserve"> al </w:t>
      </w:r>
      <w:r w:rsidR="009F36A3" w:rsidRPr="001B0C35">
        <w:rPr>
          <w:rFonts w:ascii="Bookman Old Style" w:hAnsi="Bookman Old Style"/>
          <w:b/>
          <w:bCs/>
          <w:sz w:val="22"/>
          <w:szCs w:val="22"/>
        </w:rPr>
        <w:t>45% e al 68%</w:t>
      </w:r>
      <w:r w:rsidR="009F36A3" w:rsidRPr="009F36A3">
        <w:rPr>
          <w:rFonts w:ascii="Bookman Old Style" w:hAnsi="Bookman Old Style"/>
          <w:sz w:val="22"/>
          <w:szCs w:val="22"/>
        </w:rPr>
        <w:t xml:space="preserve"> delle suddette percentuali rispettivamente negli anni 2022 e 2023. </w:t>
      </w:r>
      <w:r w:rsidR="009F36A3" w:rsidRPr="00436AFA">
        <w:rPr>
          <w:rFonts w:ascii="Bookman Old Style" w:hAnsi="Bookman Old Style"/>
          <w:b/>
          <w:bCs/>
          <w:sz w:val="22"/>
          <w:szCs w:val="22"/>
        </w:rPr>
        <w:t xml:space="preserve">Dispone, altresì, che a decorrere dall’anno 2022, la predetta indennità possa essere corrisposta nelle integrali </w:t>
      </w:r>
      <w:r w:rsidR="009F36A3" w:rsidRPr="00053A05">
        <w:rPr>
          <w:rFonts w:ascii="Bookman Old Style" w:hAnsi="Bookman Old Style"/>
          <w:b/>
          <w:bCs/>
          <w:sz w:val="22"/>
          <w:szCs w:val="22"/>
        </w:rPr>
        <w:t xml:space="preserve">misure </w:t>
      </w:r>
      <w:r w:rsidR="00E0394C" w:rsidRPr="00053A05">
        <w:rPr>
          <w:rFonts w:ascii="Bookman Old Style" w:hAnsi="Bookman Old Style"/>
          <w:b/>
          <w:bCs/>
          <w:sz w:val="22"/>
          <w:szCs w:val="22"/>
        </w:rPr>
        <w:t>(</w:t>
      </w:r>
      <w:r w:rsidR="00E0394C" w:rsidRPr="00145598">
        <w:rPr>
          <w:rFonts w:ascii="Bookman Old Style" w:hAnsi="Bookman Old Style"/>
          <w:b/>
          <w:bCs/>
          <w:sz w:val="22"/>
          <w:szCs w:val="22"/>
          <w:u w:val="single"/>
        </w:rPr>
        <w:t>misure a regime</w:t>
      </w:r>
      <w:r w:rsidR="003673BD" w:rsidRPr="00145598">
        <w:rPr>
          <w:rFonts w:ascii="Bookman Old Style" w:hAnsi="Bookman Old Style"/>
          <w:b/>
          <w:bCs/>
          <w:sz w:val="22"/>
          <w:szCs w:val="22"/>
          <w:u w:val="single"/>
        </w:rPr>
        <w:t xml:space="preserve"> nel 2024</w:t>
      </w:r>
      <w:r w:rsidR="00E0394C" w:rsidRPr="00053A05">
        <w:rPr>
          <w:rFonts w:ascii="Bookman Old Style" w:hAnsi="Bookman Old Style"/>
          <w:b/>
          <w:bCs/>
          <w:sz w:val="22"/>
          <w:szCs w:val="22"/>
        </w:rPr>
        <w:t xml:space="preserve">) </w:t>
      </w:r>
      <w:r w:rsidR="009F36A3" w:rsidRPr="00053A05">
        <w:rPr>
          <w:rFonts w:ascii="Bookman Old Style" w:hAnsi="Bookman Old Style"/>
          <w:b/>
          <w:bCs/>
          <w:sz w:val="22"/>
          <w:szCs w:val="22"/>
        </w:rPr>
        <w:t xml:space="preserve">di </w:t>
      </w:r>
      <w:r w:rsidR="009F36A3" w:rsidRPr="00436AFA">
        <w:rPr>
          <w:rFonts w:ascii="Bookman Old Style" w:hAnsi="Bookman Old Style"/>
          <w:b/>
          <w:bCs/>
          <w:sz w:val="22"/>
          <w:szCs w:val="22"/>
        </w:rPr>
        <w:t>cui alle lettere precedenti nel rispetto pluriennale dell’equilibrio di bilancio</w:t>
      </w:r>
      <w:r w:rsidR="009F36A3" w:rsidRPr="009F36A3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8B3909" w:rsidRDefault="00145598" w:rsidP="007872EB">
      <w:pPr>
        <w:pStyle w:val="Corpotesto"/>
        <w:spacing w:after="240" w:line="360" w:lineRule="auto"/>
        <w:ind w:right="49"/>
        <w:rPr>
          <w:rFonts w:ascii="Bookman Old Style" w:hAnsi="Bookman Old Style"/>
          <w:b/>
          <w:sz w:val="22"/>
          <w:szCs w:val="22"/>
        </w:rPr>
      </w:pPr>
      <w:r w:rsidRPr="008B3909">
        <w:rPr>
          <w:rFonts w:ascii="Bookman Old Style" w:hAnsi="Bookman Old Style"/>
          <w:b/>
          <w:sz w:val="22"/>
          <w:szCs w:val="22"/>
        </w:rPr>
        <w:t>Rispetto alla suddetta fase di prima applicazione</w:t>
      </w:r>
      <w:r w:rsidR="007232DD" w:rsidRPr="008B3909">
        <w:rPr>
          <w:rFonts w:ascii="Bookman Old Style" w:hAnsi="Bookman Old Style"/>
          <w:b/>
          <w:sz w:val="22"/>
          <w:szCs w:val="22"/>
        </w:rPr>
        <w:t>, l’importo da applicarsi per il 2022 e</w:t>
      </w:r>
      <w:r w:rsidR="00A53AE1">
        <w:rPr>
          <w:rFonts w:ascii="Bookman Old Style" w:hAnsi="Bookman Old Style"/>
          <w:b/>
          <w:sz w:val="22"/>
          <w:szCs w:val="22"/>
        </w:rPr>
        <w:t xml:space="preserve"> per </w:t>
      </w:r>
      <w:r w:rsidR="007232DD" w:rsidRPr="008B3909">
        <w:rPr>
          <w:rFonts w:ascii="Bookman Old Style" w:hAnsi="Bookman Old Style"/>
          <w:b/>
          <w:sz w:val="22"/>
          <w:szCs w:val="22"/>
        </w:rPr>
        <w:t xml:space="preserve">il 2023 si ottiene calcolando rispettivamente il 45% e il 68% </w:t>
      </w:r>
      <w:r w:rsidR="00040F41">
        <w:rPr>
          <w:rFonts w:ascii="Bookman Old Style" w:hAnsi="Bookman Old Style"/>
          <w:b/>
          <w:sz w:val="22"/>
          <w:szCs w:val="22"/>
        </w:rPr>
        <w:t>su</w:t>
      </w:r>
      <w:r w:rsidR="007232DD" w:rsidRPr="008B3909">
        <w:rPr>
          <w:rFonts w:ascii="Bookman Old Style" w:hAnsi="Bookman Old Style"/>
          <w:b/>
          <w:sz w:val="22"/>
          <w:szCs w:val="22"/>
        </w:rPr>
        <w:t>ll’aumento/differenza dell</w:t>
      </w:r>
      <w:r w:rsidR="007A42F6">
        <w:rPr>
          <w:rFonts w:ascii="Bookman Old Style" w:hAnsi="Bookman Old Style"/>
          <w:b/>
          <w:sz w:val="22"/>
          <w:szCs w:val="22"/>
        </w:rPr>
        <w:t xml:space="preserve">’importo totale a regime per il 2024 previsto </w:t>
      </w:r>
      <w:r w:rsidR="00237324">
        <w:rPr>
          <w:rFonts w:ascii="Bookman Old Style" w:hAnsi="Bookman Old Style"/>
          <w:b/>
          <w:sz w:val="22"/>
          <w:szCs w:val="22"/>
        </w:rPr>
        <w:t xml:space="preserve"> per ciascuna classe demografica di Comune</w:t>
      </w:r>
      <w:r w:rsidR="007232DD" w:rsidRPr="008B3909">
        <w:rPr>
          <w:rFonts w:ascii="Bookman Old Style" w:hAnsi="Bookman Old Style"/>
          <w:b/>
          <w:sz w:val="22"/>
          <w:szCs w:val="22"/>
        </w:rPr>
        <w:t>.</w:t>
      </w:r>
      <w:r w:rsidR="007232DD">
        <w:rPr>
          <w:rFonts w:ascii="Bookman Old Style" w:hAnsi="Bookman Old Style"/>
          <w:sz w:val="22"/>
          <w:szCs w:val="22"/>
        </w:rPr>
        <w:t xml:space="preserve"> </w:t>
      </w:r>
    </w:p>
    <w:p w:rsidR="007232DD" w:rsidRPr="008B3909" w:rsidRDefault="008B3909" w:rsidP="007872EB">
      <w:pPr>
        <w:pStyle w:val="Corpotesto"/>
        <w:spacing w:after="240" w:line="360" w:lineRule="auto"/>
        <w:ind w:right="49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Si riporta di seguito una simulazione di come operare il calcolo, ad es</w:t>
      </w:r>
      <w:r w:rsidR="007232DD" w:rsidRPr="00DF1FDE">
        <w:rPr>
          <w:rFonts w:ascii="Bookman Old Style" w:hAnsi="Bookman Old Style"/>
          <w:b/>
          <w:sz w:val="22"/>
          <w:szCs w:val="22"/>
        </w:rPr>
        <w:t>empio</w:t>
      </w:r>
      <w:r>
        <w:rPr>
          <w:rFonts w:ascii="Bookman Old Style" w:hAnsi="Bookman Old Style"/>
          <w:b/>
          <w:sz w:val="22"/>
          <w:szCs w:val="22"/>
        </w:rPr>
        <w:t>,</w:t>
      </w:r>
      <w:r w:rsidR="007232DD" w:rsidRPr="00DF1FDE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per la</w:t>
      </w:r>
      <w:r w:rsidR="007232DD" w:rsidRPr="00DF1FDE">
        <w:rPr>
          <w:rFonts w:ascii="Bookman Old Style" w:hAnsi="Bookman Old Style"/>
          <w:b/>
          <w:sz w:val="22"/>
          <w:szCs w:val="22"/>
        </w:rPr>
        <w:t xml:space="preserve"> fascia </w:t>
      </w:r>
      <w:r w:rsidR="008269E1" w:rsidRPr="00DF1FDE">
        <w:rPr>
          <w:rFonts w:ascii="Bookman Old Style" w:hAnsi="Bookman Old Style"/>
          <w:b/>
          <w:sz w:val="22"/>
          <w:szCs w:val="22"/>
        </w:rPr>
        <w:t xml:space="preserve">dei </w:t>
      </w:r>
      <w:r w:rsidR="007232DD" w:rsidRPr="00DF1FDE">
        <w:rPr>
          <w:rFonts w:ascii="Bookman Old Style" w:hAnsi="Bookman Old Style"/>
          <w:b/>
          <w:sz w:val="22"/>
          <w:szCs w:val="22"/>
        </w:rPr>
        <w:t xml:space="preserve">Sindaci di Comuni </w:t>
      </w:r>
      <w:r w:rsidR="00237324">
        <w:rPr>
          <w:rFonts w:ascii="Bookman Old Style" w:hAnsi="Bookman Old Style"/>
          <w:b/>
          <w:sz w:val="22"/>
          <w:szCs w:val="22"/>
        </w:rPr>
        <w:t xml:space="preserve">Capoluogo </w:t>
      </w:r>
      <w:r w:rsidR="007232DD" w:rsidRPr="00DF1FDE">
        <w:rPr>
          <w:rFonts w:ascii="Bookman Old Style" w:hAnsi="Bookman Old Style"/>
          <w:b/>
          <w:sz w:val="22"/>
          <w:szCs w:val="22"/>
        </w:rPr>
        <w:t>sede di Città Metropolitane</w:t>
      </w:r>
      <w:r w:rsidR="007232DD">
        <w:rPr>
          <w:rFonts w:ascii="Bookman Old Style" w:hAnsi="Bookman Old Style"/>
          <w:sz w:val="22"/>
          <w:szCs w:val="22"/>
        </w:rPr>
        <w:t xml:space="preserve">: se </w:t>
      </w:r>
      <w:r>
        <w:rPr>
          <w:rFonts w:ascii="Bookman Old Style" w:hAnsi="Bookman Old Style"/>
          <w:sz w:val="22"/>
          <w:szCs w:val="22"/>
        </w:rPr>
        <w:t>l’</w:t>
      </w:r>
      <w:r w:rsidR="007232DD">
        <w:rPr>
          <w:rFonts w:ascii="Bookman Old Style" w:hAnsi="Bookman Old Style"/>
          <w:sz w:val="22"/>
          <w:szCs w:val="22"/>
        </w:rPr>
        <w:t>indennità</w:t>
      </w:r>
      <w:r w:rsidR="008269E1">
        <w:rPr>
          <w:rFonts w:ascii="Bookman Old Style" w:hAnsi="Bookman Old Style"/>
          <w:sz w:val="22"/>
          <w:szCs w:val="22"/>
        </w:rPr>
        <w:t xml:space="preserve"> lorda mensile </w:t>
      </w:r>
      <w:r w:rsidR="007232DD">
        <w:rPr>
          <w:rFonts w:ascii="Bookman Old Style" w:hAnsi="Bookman Old Style"/>
          <w:sz w:val="22"/>
          <w:szCs w:val="22"/>
        </w:rPr>
        <w:t>attuale (</w:t>
      </w:r>
      <w:r>
        <w:rPr>
          <w:rFonts w:ascii="Bookman Old Style" w:hAnsi="Bookman Old Style"/>
          <w:sz w:val="22"/>
          <w:szCs w:val="22"/>
        </w:rPr>
        <w:t>come da t</w:t>
      </w:r>
      <w:r w:rsidR="008269E1">
        <w:rPr>
          <w:rFonts w:ascii="Bookman Old Style" w:hAnsi="Bookman Old Style"/>
          <w:sz w:val="22"/>
          <w:szCs w:val="22"/>
        </w:rPr>
        <w:t xml:space="preserve">abella RGS allegata nella </w:t>
      </w:r>
      <w:r w:rsidR="007232DD">
        <w:rPr>
          <w:rFonts w:ascii="Bookman Old Style" w:hAnsi="Bookman Old Style"/>
          <w:sz w:val="22"/>
          <w:szCs w:val="22"/>
        </w:rPr>
        <w:t xml:space="preserve">relazione tecnica </w:t>
      </w:r>
      <w:r w:rsidR="008269E1">
        <w:rPr>
          <w:rFonts w:ascii="Bookman Old Style" w:hAnsi="Bookman Old Style"/>
          <w:sz w:val="22"/>
          <w:szCs w:val="22"/>
        </w:rPr>
        <w:t xml:space="preserve">della legge di </w:t>
      </w:r>
      <w:r w:rsidR="008269E1">
        <w:rPr>
          <w:rFonts w:ascii="Bookman Old Style" w:hAnsi="Bookman Old Style"/>
          <w:sz w:val="22"/>
          <w:szCs w:val="22"/>
        </w:rPr>
        <w:lastRenderedPageBreak/>
        <w:t>bilancio</w:t>
      </w:r>
      <w:r w:rsidR="007232DD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e riportata nella presente nota</w:t>
      </w:r>
      <w:r w:rsidR="007232DD">
        <w:rPr>
          <w:rFonts w:ascii="Bookman Old Style" w:hAnsi="Bookman Old Style"/>
          <w:sz w:val="22"/>
          <w:szCs w:val="22"/>
        </w:rPr>
        <w:t>) è</w:t>
      </w:r>
      <w:r w:rsidR="008269E1">
        <w:rPr>
          <w:rFonts w:ascii="Bookman Old Style" w:hAnsi="Bookman Old Style"/>
          <w:sz w:val="22"/>
          <w:szCs w:val="22"/>
        </w:rPr>
        <w:t xml:space="preserve"> </w:t>
      </w:r>
      <w:r w:rsidR="00DF1FDE">
        <w:rPr>
          <w:rFonts w:ascii="Bookman Old Style" w:hAnsi="Bookman Old Style"/>
          <w:sz w:val="22"/>
          <w:szCs w:val="22"/>
        </w:rPr>
        <w:t>pari a</w:t>
      </w:r>
      <w:r w:rsidR="008269E1">
        <w:rPr>
          <w:rFonts w:ascii="Bookman Old Style" w:hAnsi="Bookman Old Style"/>
          <w:sz w:val="22"/>
          <w:szCs w:val="22"/>
        </w:rPr>
        <w:t xml:space="preserve"> </w:t>
      </w:r>
      <w:r w:rsidR="008269E1" w:rsidRPr="008B3909">
        <w:rPr>
          <w:rFonts w:ascii="Bookman Old Style" w:hAnsi="Bookman Old Style"/>
          <w:b/>
          <w:sz w:val="22"/>
          <w:szCs w:val="22"/>
        </w:rPr>
        <w:t>7.018,65</w:t>
      </w:r>
      <w:r w:rsidR="008269E1">
        <w:rPr>
          <w:rFonts w:ascii="Bookman Old Style" w:hAnsi="Bookman Old Style"/>
          <w:sz w:val="22"/>
          <w:szCs w:val="22"/>
        </w:rPr>
        <w:t xml:space="preserve"> euro</w:t>
      </w:r>
      <w:r w:rsidR="00DF1FDE">
        <w:rPr>
          <w:rFonts w:ascii="Bookman Old Style" w:hAnsi="Bookman Old Style"/>
          <w:sz w:val="22"/>
          <w:szCs w:val="22"/>
        </w:rPr>
        <w:t xml:space="preserve"> e quella a regime è pari a </w:t>
      </w:r>
      <w:r w:rsidR="00DF1FDE" w:rsidRPr="008B3909">
        <w:rPr>
          <w:rFonts w:ascii="Bookman Old Style" w:hAnsi="Bookman Old Style"/>
          <w:b/>
          <w:sz w:val="22"/>
          <w:szCs w:val="22"/>
        </w:rPr>
        <w:t xml:space="preserve">13.800 </w:t>
      </w:r>
      <w:r w:rsidR="00DF1FDE">
        <w:rPr>
          <w:rFonts w:ascii="Bookman Old Style" w:hAnsi="Bookman Old Style"/>
          <w:sz w:val="22"/>
          <w:szCs w:val="22"/>
        </w:rPr>
        <w:t>euro</w:t>
      </w:r>
      <w:r w:rsidR="008269E1">
        <w:rPr>
          <w:rFonts w:ascii="Bookman Old Style" w:hAnsi="Bookman Old Style"/>
          <w:sz w:val="22"/>
          <w:szCs w:val="22"/>
        </w:rPr>
        <w:t xml:space="preserve">, </w:t>
      </w:r>
      <w:r w:rsidR="007A42F6">
        <w:rPr>
          <w:rFonts w:ascii="Bookman Old Style" w:hAnsi="Bookman Old Style"/>
          <w:b/>
          <w:sz w:val="22"/>
          <w:szCs w:val="22"/>
        </w:rPr>
        <w:t>l’importo del</w:t>
      </w:r>
      <w:r w:rsidR="008269E1" w:rsidRPr="008B3909">
        <w:rPr>
          <w:rFonts w:ascii="Bookman Old Style" w:hAnsi="Bookman Old Style"/>
          <w:b/>
          <w:sz w:val="22"/>
          <w:szCs w:val="22"/>
        </w:rPr>
        <w:t xml:space="preserve"> 45%</w:t>
      </w:r>
      <w:r w:rsidR="00DF1FDE" w:rsidRPr="008B3909">
        <w:rPr>
          <w:rFonts w:ascii="Bookman Old Style" w:hAnsi="Bookman Old Style"/>
          <w:b/>
          <w:sz w:val="22"/>
          <w:szCs w:val="22"/>
        </w:rPr>
        <w:t xml:space="preserve"> </w:t>
      </w:r>
      <w:r w:rsidR="008269E1" w:rsidRPr="008B3909">
        <w:rPr>
          <w:rFonts w:ascii="Bookman Old Style" w:hAnsi="Bookman Old Style"/>
          <w:b/>
          <w:sz w:val="22"/>
          <w:szCs w:val="22"/>
        </w:rPr>
        <w:t xml:space="preserve">nel 2022 </w:t>
      </w:r>
      <w:r w:rsidR="007A42F6">
        <w:rPr>
          <w:rFonts w:ascii="Bookman Old Style" w:hAnsi="Bookman Old Style"/>
          <w:b/>
          <w:sz w:val="22"/>
          <w:szCs w:val="22"/>
        </w:rPr>
        <w:t xml:space="preserve">e del </w:t>
      </w:r>
      <w:r w:rsidR="008269E1" w:rsidRPr="008B3909">
        <w:rPr>
          <w:rFonts w:ascii="Bookman Old Style" w:hAnsi="Bookman Old Style"/>
          <w:b/>
          <w:sz w:val="22"/>
          <w:szCs w:val="22"/>
        </w:rPr>
        <w:t xml:space="preserve">68% </w:t>
      </w:r>
      <w:r w:rsidR="00DF1FDE" w:rsidRPr="008B3909">
        <w:rPr>
          <w:rFonts w:ascii="Bookman Old Style" w:hAnsi="Bookman Old Style"/>
          <w:b/>
          <w:sz w:val="22"/>
          <w:szCs w:val="22"/>
        </w:rPr>
        <w:t xml:space="preserve">di aumento </w:t>
      </w:r>
      <w:r w:rsidR="008269E1" w:rsidRPr="008B3909">
        <w:rPr>
          <w:rFonts w:ascii="Bookman Old Style" w:hAnsi="Bookman Old Style"/>
          <w:b/>
          <w:sz w:val="22"/>
          <w:szCs w:val="22"/>
        </w:rPr>
        <w:t>nel 2023 andrà calcolato su</w:t>
      </w:r>
      <w:r w:rsidR="007A42F6">
        <w:rPr>
          <w:rFonts w:ascii="Bookman Old Style" w:hAnsi="Bookman Old Style"/>
          <w:b/>
          <w:sz w:val="22"/>
          <w:szCs w:val="22"/>
        </w:rPr>
        <w:t xml:space="preserve"> un aumento totale di</w:t>
      </w:r>
      <w:r w:rsidR="008269E1" w:rsidRPr="008B3909">
        <w:rPr>
          <w:rFonts w:ascii="Bookman Old Style" w:hAnsi="Bookman Old Style"/>
          <w:b/>
          <w:sz w:val="22"/>
          <w:szCs w:val="22"/>
        </w:rPr>
        <w:t xml:space="preserve"> 6.781,35, </w:t>
      </w:r>
      <w:r w:rsidR="00713FCF">
        <w:rPr>
          <w:rFonts w:ascii="Bookman Old Style" w:hAnsi="Bookman Old Style"/>
          <w:b/>
          <w:sz w:val="22"/>
          <w:szCs w:val="22"/>
        </w:rPr>
        <w:t xml:space="preserve">previsto a regime del 2024. </w:t>
      </w:r>
      <w:r w:rsidR="007A42F6" w:rsidRPr="00713FCF">
        <w:rPr>
          <w:rFonts w:ascii="Bookman Old Style" w:hAnsi="Bookman Old Style"/>
          <w:b/>
          <w:bCs/>
          <w:sz w:val="22"/>
          <w:szCs w:val="22"/>
        </w:rPr>
        <w:t>D</w:t>
      </w:r>
      <w:r w:rsidR="008269E1" w:rsidRPr="00713FCF">
        <w:rPr>
          <w:rFonts w:ascii="Bookman Old Style" w:hAnsi="Bookman Old Style"/>
          <w:b/>
          <w:sz w:val="22"/>
          <w:szCs w:val="22"/>
        </w:rPr>
        <w:t>unque</w:t>
      </w:r>
      <w:r w:rsidR="00713FCF" w:rsidRPr="00713FCF">
        <w:rPr>
          <w:rFonts w:ascii="Bookman Old Style" w:hAnsi="Bookman Old Style"/>
          <w:b/>
          <w:sz w:val="22"/>
          <w:szCs w:val="22"/>
        </w:rPr>
        <w:t xml:space="preserve">, nell’esempio fatto, </w:t>
      </w:r>
      <w:r w:rsidR="008269E1" w:rsidRPr="00713FCF">
        <w:rPr>
          <w:rFonts w:ascii="Bookman Old Style" w:hAnsi="Bookman Old Style"/>
          <w:b/>
          <w:sz w:val="22"/>
          <w:szCs w:val="22"/>
        </w:rPr>
        <w:t xml:space="preserve"> </w:t>
      </w:r>
      <w:r w:rsidR="00DF1FDE" w:rsidRPr="00713FCF">
        <w:rPr>
          <w:rFonts w:ascii="Bookman Old Style" w:hAnsi="Bookman Old Style"/>
          <w:b/>
          <w:sz w:val="22"/>
          <w:szCs w:val="22"/>
        </w:rPr>
        <w:t>l’aumento</w:t>
      </w:r>
      <w:r w:rsidRPr="00713FCF">
        <w:rPr>
          <w:rFonts w:ascii="Bookman Old Style" w:hAnsi="Bookman Old Style"/>
          <w:b/>
          <w:sz w:val="22"/>
          <w:szCs w:val="22"/>
        </w:rPr>
        <w:t xml:space="preserve"> mensile lordo </w:t>
      </w:r>
      <w:r w:rsidR="008269E1" w:rsidRPr="00713FCF">
        <w:rPr>
          <w:rFonts w:ascii="Bookman Old Style" w:hAnsi="Bookman Old Style"/>
          <w:b/>
          <w:sz w:val="22"/>
          <w:szCs w:val="22"/>
        </w:rPr>
        <w:t xml:space="preserve">sarà pari </w:t>
      </w:r>
      <w:r w:rsidR="00DF1FDE" w:rsidRPr="00713FCF">
        <w:rPr>
          <w:rFonts w:ascii="Bookman Old Style" w:hAnsi="Bookman Old Style"/>
          <w:b/>
          <w:sz w:val="22"/>
          <w:szCs w:val="22"/>
        </w:rPr>
        <w:t xml:space="preserve">a circa 3.051,60 </w:t>
      </w:r>
      <w:r w:rsidR="00FA77ED" w:rsidRPr="00713FCF">
        <w:rPr>
          <w:rFonts w:ascii="Bookman Old Style" w:hAnsi="Bookman Old Style"/>
          <w:b/>
          <w:sz w:val="22"/>
          <w:szCs w:val="22"/>
        </w:rPr>
        <w:t>eu</w:t>
      </w:r>
      <w:r w:rsidR="00FA77ED">
        <w:rPr>
          <w:rFonts w:ascii="Bookman Old Style" w:hAnsi="Bookman Old Style"/>
          <w:b/>
          <w:sz w:val="22"/>
          <w:szCs w:val="22"/>
        </w:rPr>
        <w:t>ro</w:t>
      </w:r>
      <w:r w:rsidR="00DF1FDE" w:rsidRPr="008B3909">
        <w:rPr>
          <w:rFonts w:ascii="Bookman Old Style" w:hAnsi="Bookman Old Style"/>
          <w:b/>
          <w:sz w:val="22"/>
          <w:szCs w:val="22"/>
        </w:rPr>
        <w:t xml:space="preserve"> nel 2022 e 4.615,60</w:t>
      </w:r>
      <w:r w:rsidR="00FA77ED">
        <w:rPr>
          <w:rFonts w:ascii="Bookman Old Style" w:hAnsi="Bookman Old Style"/>
          <w:b/>
          <w:sz w:val="22"/>
          <w:szCs w:val="22"/>
        </w:rPr>
        <w:t xml:space="preserve"> euro</w:t>
      </w:r>
      <w:r>
        <w:rPr>
          <w:rFonts w:ascii="Bookman Old Style" w:hAnsi="Bookman Old Style"/>
          <w:b/>
          <w:sz w:val="22"/>
          <w:szCs w:val="22"/>
        </w:rPr>
        <w:t xml:space="preserve"> nel 2023</w:t>
      </w:r>
      <w:r w:rsidR="00FA77ED">
        <w:rPr>
          <w:rFonts w:ascii="Bookman Old Style" w:hAnsi="Bookman Old Style"/>
          <w:b/>
          <w:sz w:val="22"/>
          <w:szCs w:val="22"/>
        </w:rPr>
        <w:t xml:space="preserve">, </w:t>
      </w:r>
      <w:r>
        <w:rPr>
          <w:rFonts w:ascii="Bookman Old Style" w:hAnsi="Bookman Old Style"/>
          <w:b/>
          <w:sz w:val="22"/>
          <w:szCs w:val="22"/>
        </w:rPr>
        <w:t xml:space="preserve">per un totale </w:t>
      </w:r>
      <w:r w:rsidR="00FA77ED">
        <w:rPr>
          <w:rFonts w:ascii="Bookman Old Style" w:hAnsi="Bookman Old Style"/>
          <w:b/>
          <w:sz w:val="22"/>
          <w:szCs w:val="22"/>
        </w:rPr>
        <w:t xml:space="preserve">mensile lordo </w:t>
      </w:r>
      <w:r>
        <w:rPr>
          <w:rFonts w:ascii="Bookman Old Style" w:hAnsi="Bookman Old Style"/>
          <w:b/>
          <w:sz w:val="22"/>
          <w:szCs w:val="22"/>
        </w:rPr>
        <w:t>di 10.070,25 euro</w:t>
      </w:r>
      <w:r w:rsidR="00FA77ED">
        <w:rPr>
          <w:rFonts w:ascii="Bookman Old Style" w:hAnsi="Bookman Old Style"/>
          <w:b/>
          <w:sz w:val="22"/>
          <w:szCs w:val="22"/>
        </w:rPr>
        <w:t xml:space="preserve"> nel 2022 e 11.634,25 euro nel 2023.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2D514B" w:rsidRDefault="002D514B" w:rsidP="007872EB">
      <w:pPr>
        <w:pStyle w:val="Corpotesto"/>
        <w:spacing w:after="240" w:line="360" w:lineRule="auto"/>
        <w:ind w:right="49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T</w:t>
      </w:r>
      <w:r w:rsidR="008D7FDC">
        <w:rPr>
          <w:rFonts w:ascii="Bookman Old Style" w:hAnsi="Bookman Old Style"/>
          <w:b/>
          <w:sz w:val="22"/>
          <w:szCs w:val="22"/>
          <w:u w:val="single"/>
        </w:rPr>
        <w:t xml:space="preserve">ale </w:t>
      </w:r>
      <w:r w:rsidR="007A42F6">
        <w:rPr>
          <w:rFonts w:ascii="Bookman Old Style" w:hAnsi="Bookman Old Style"/>
          <w:b/>
          <w:sz w:val="22"/>
          <w:szCs w:val="22"/>
          <w:u w:val="single"/>
        </w:rPr>
        <w:t>applicazione</w:t>
      </w:r>
      <w:r w:rsidR="008D7FDC">
        <w:rPr>
          <w:rFonts w:ascii="Bookman Old Style" w:hAnsi="Bookman Old Style"/>
          <w:b/>
          <w:sz w:val="22"/>
          <w:szCs w:val="22"/>
          <w:u w:val="single"/>
        </w:rPr>
        <w:t xml:space="preserve"> risu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lta </w:t>
      </w:r>
      <w:r w:rsidR="007A42F6">
        <w:rPr>
          <w:rFonts w:ascii="Bookman Old Style" w:hAnsi="Bookman Old Style"/>
          <w:b/>
          <w:sz w:val="22"/>
          <w:szCs w:val="22"/>
          <w:u w:val="single"/>
        </w:rPr>
        <w:t xml:space="preserve">del tutto 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coerente non solo con il dato letterale </w:t>
      </w:r>
      <w:r w:rsidR="00713FCF">
        <w:rPr>
          <w:rFonts w:ascii="Bookman Old Style" w:hAnsi="Bookman Old Style"/>
          <w:b/>
          <w:sz w:val="22"/>
          <w:szCs w:val="22"/>
          <w:u w:val="single"/>
        </w:rPr>
        <w:t xml:space="preserve">e sistematico </w:t>
      </w:r>
      <w:r>
        <w:rPr>
          <w:rFonts w:ascii="Bookman Old Style" w:hAnsi="Bookman Old Style"/>
          <w:b/>
          <w:sz w:val="22"/>
          <w:szCs w:val="22"/>
          <w:u w:val="single"/>
        </w:rPr>
        <w:t>della disposizione in commento</w:t>
      </w:r>
      <w:r w:rsidR="00713FCF">
        <w:rPr>
          <w:rFonts w:ascii="Bookman Old Style" w:hAnsi="Bookman Old Style"/>
          <w:b/>
          <w:sz w:val="22"/>
          <w:szCs w:val="22"/>
          <w:u w:val="single"/>
        </w:rPr>
        <w:t xml:space="preserve"> ma con la stessa</w:t>
      </w:r>
      <w:r w:rsidR="008D7FDC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ratio </w:t>
      </w:r>
      <w:proofErr w:type="spellStart"/>
      <w:r>
        <w:rPr>
          <w:rFonts w:ascii="Bookman Old Style" w:hAnsi="Bookman Old Style"/>
          <w:b/>
          <w:sz w:val="22"/>
          <w:szCs w:val="22"/>
          <w:u w:val="single"/>
        </w:rPr>
        <w:t>legis</w:t>
      </w:r>
      <w:proofErr w:type="spellEnd"/>
      <w:r w:rsidR="00713FCF">
        <w:rPr>
          <w:rFonts w:ascii="Bookman Old Style" w:hAnsi="Bookman Old Style"/>
          <w:b/>
          <w:sz w:val="22"/>
          <w:szCs w:val="22"/>
          <w:u w:val="single"/>
        </w:rPr>
        <w:t>,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che prevede per l’appunto un aumento delle suddette indennità</w:t>
      </w:r>
      <w:r w:rsidR="007A42F6">
        <w:rPr>
          <w:rFonts w:ascii="Bookman Old Style" w:hAnsi="Bookman Old Style"/>
          <w:b/>
          <w:sz w:val="22"/>
          <w:szCs w:val="22"/>
          <w:u w:val="single"/>
        </w:rPr>
        <w:t>. A questo si aggiunge che la disposizione prevede a titolo di contributo</w:t>
      </w:r>
      <w:r w:rsidR="00C23D3D">
        <w:rPr>
          <w:rFonts w:ascii="Bookman Old Style" w:hAnsi="Bookman Old Style"/>
          <w:b/>
          <w:sz w:val="22"/>
          <w:szCs w:val="22"/>
          <w:u w:val="single"/>
        </w:rPr>
        <w:t xml:space="preserve"> una compensazione a carico delle </w:t>
      </w:r>
      <w:r w:rsidR="007A28CE">
        <w:rPr>
          <w:rFonts w:ascii="Bookman Old Style" w:hAnsi="Bookman Old Style"/>
          <w:b/>
          <w:sz w:val="22"/>
          <w:szCs w:val="22"/>
          <w:u w:val="single"/>
        </w:rPr>
        <w:t>S</w:t>
      </w:r>
      <w:r w:rsidR="00C23D3D">
        <w:rPr>
          <w:rFonts w:ascii="Bookman Old Style" w:hAnsi="Bookman Old Style"/>
          <w:b/>
          <w:sz w:val="22"/>
          <w:szCs w:val="22"/>
          <w:u w:val="single"/>
        </w:rPr>
        <w:t>tato a partire dal 2022 per rist</w:t>
      </w:r>
      <w:r w:rsidR="007A28CE">
        <w:rPr>
          <w:rFonts w:ascii="Bookman Old Style" w:hAnsi="Bookman Old Style"/>
          <w:b/>
          <w:sz w:val="22"/>
          <w:szCs w:val="22"/>
          <w:u w:val="single"/>
        </w:rPr>
        <w:t>o</w:t>
      </w:r>
      <w:r w:rsidR="00C23D3D">
        <w:rPr>
          <w:rFonts w:ascii="Bookman Old Style" w:hAnsi="Bookman Old Style"/>
          <w:b/>
          <w:sz w:val="22"/>
          <w:szCs w:val="22"/>
          <w:u w:val="single"/>
        </w:rPr>
        <w:t xml:space="preserve">rare i </w:t>
      </w:r>
      <w:r w:rsidR="007A28CE">
        <w:rPr>
          <w:rFonts w:ascii="Bookman Old Style" w:hAnsi="Bookman Old Style"/>
          <w:b/>
          <w:sz w:val="22"/>
          <w:szCs w:val="22"/>
          <w:u w:val="single"/>
        </w:rPr>
        <w:t>C</w:t>
      </w:r>
      <w:r w:rsidR="00C23D3D">
        <w:rPr>
          <w:rFonts w:ascii="Bookman Old Style" w:hAnsi="Bookman Old Style"/>
          <w:b/>
          <w:sz w:val="22"/>
          <w:szCs w:val="22"/>
          <w:u w:val="single"/>
        </w:rPr>
        <w:t>omuni degli oneri conseguenti</w:t>
      </w:r>
      <w:r>
        <w:rPr>
          <w:rFonts w:ascii="Bookman Old Style" w:hAnsi="Bookman Old Style"/>
          <w:b/>
          <w:sz w:val="22"/>
          <w:szCs w:val="22"/>
          <w:u w:val="single"/>
        </w:rPr>
        <w:t xml:space="preserve"> ( comma 586).</w:t>
      </w:r>
      <w:r w:rsidR="008D7FDC">
        <w:rPr>
          <w:rFonts w:ascii="Bookman Old Style" w:hAnsi="Bookman Old Style"/>
          <w:b/>
          <w:sz w:val="22"/>
          <w:szCs w:val="22"/>
          <w:u w:val="single"/>
        </w:rPr>
        <w:t xml:space="preserve">  Peraltro, diversamente argomentando, si avrebbe l’effetto </w:t>
      </w:r>
      <w:r w:rsidR="00C23D3D">
        <w:rPr>
          <w:rFonts w:ascii="Bookman Old Style" w:hAnsi="Bookman Old Style"/>
          <w:b/>
          <w:sz w:val="22"/>
          <w:szCs w:val="22"/>
          <w:u w:val="single"/>
        </w:rPr>
        <w:t xml:space="preserve">del tutto </w:t>
      </w:r>
      <w:r w:rsidR="008D7FDC">
        <w:rPr>
          <w:rFonts w:ascii="Bookman Old Style" w:hAnsi="Bookman Old Style"/>
          <w:b/>
          <w:sz w:val="22"/>
          <w:szCs w:val="22"/>
          <w:u w:val="single"/>
        </w:rPr>
        <w:t xml:space="preserve">paradossale e contra </w:t>
      </w:r>
      <w:proofErr w:type="spellStart"/>
      <w:r w:rsidR="008D7FDC">
        <w:rPr>
          <w:rFonts w:ascii="Bookman Old Style" w:hAnsi="Bookman Old Style"/>
          <w:b/>
          <w:sz w:val="22"/>
          <w:szCs w:val="22"/>
          <w:u w:val="single"/>
        </w:rPr>
        <w:t>legem</w:t>
      </w:r>
      <w:proofErr w:type="spellEnd"/>
      <w:r w:rsidR="008D7FDC">
        <w:rPr>
          <w:rFonts w:ascii="Bookman Old Style" w:hAnsi="Bookman Old Style"/>
          <w:b/>
          <w:sz w:val="22"/>
          <w:szCs w:val="22"/>
          <w:u w:val="single"/>
        </w:rPr>
        <w:t xml:space="preserve"> di una riduzione e non di </w:t>
      </w:r>
      <w:r w:rsidR="00040F41">
        <w:rPr>
          <w:rFonts w:ascii="Bookman Old Style" w:hAnsi="Bookman Old Style"/>
          <w:b/>
          <w:sz w:val="22"/>
          <w:szCs w:val="22"/>
          <w:u w:val="single"/>
        </w:rPr>
        <w:t xml:space="preserve">un </w:t>
      </w:r>
      <w:r w:rsidR="008D7FDC">
        <w:rPr>
          <w:rFonts w:ascii="Bookman Old Style" w:hAnsi="Bookman Old Style"/>
          <w:b/>
          <w:sz w:val="22"/>
          <w:szCs w:val="22"/>
          <w:u w:val="single"/>
        </w:rPr>
        <w:t xml:space="preserve">incremento delle </w:t>
      </w:r>
      <w:r w:rsidR="008D7FDC" w:rsidRPr="008D7FDC">
        <w:rPr>
          <w:rFonts w:ascii="Bookman Old Style" w:hAnsi="Bookman Old Style"/>
          <w:b/>
          <w:i/>
          <w:sz w:val="22"/>
          <w:szCs w:val="22"/>
          <w:u w:val="single"/>
        </w:rPr>
        <w:t xml:space="preserve">indennità de </w:t>
      </w:r>
      <w:proofErr w:type="spellStart"/>
      <w:r w:rsidR="008D7FDC" w:rsidRPr="008D7FDC">
        <w:rPr>
          <w:rFonts w:ascii="Bookman Old Style" w:hAnsi="Bookman Old Style"/>
          <w:b/>
          <w:i/>
          <w:sz w:val="22"/>
          <w:szCs w:val="22"/>
          <w:u w:val="single"/>
        </w:rPr>
        <w:t>quibus</w:t>
      </w:r>
      <w:proofErr w:type="spellEnd"/>
      <w:r w:rsidR="008D7FDC" w:rsidRPr="008D7FDC">
        <w:rPr>
          <w:rFonts w:ascii="Bookman Old Style" w:hAnsi="Bookman Old Style"/>
          <w:b/>
          <w:i/>
          <w:sz w:val="22"/>
          <w:szCs w:val="22"/>
          <w:u w:val="single"/>
        </w:rPr>
        <w:t>.</w:t>
      </w:r>
      <w:r w:rsidR="008D7FDC">
        <w:rPr>
          <w:rFonts w:ascii="Bookman Old Style" w:hAnsi="Bookman Old Style"/>
          <w:b/>
          <w:sz w:val="22"/>
          <w:szCs w:val="22"/>
          <w:u w:val="single"/>
        </w:rPr>
        <w:t xml:space="preserve"> </w:t>
      </w:r>
    </w:p>
    <w:p w:rsidR="00713FCF" w:rsidRPr="005E0DC1" w:rsidRDefault="00713FCF" w:rsidP="007872EB">
      <w:pPr>
        <w:pStyle w:val="Corpotesto"/>
        <w:spacing w:after="240" w:line="360" w:lineRule="auto"/>
        <w:ind w:right="49"/>
        <w:rPr>
          <w:rFonts w:ascii="Bookman Old Style" w:hAnsi="Bookman Old Style"/>
          <w:b/>
          <w:sz w:val="22"/>
          <w:szCs w:val="22"/>
        </w:rPr>
      </w:pPr>
      <w:r w:rsidRPr="005E0DC1">
        <w:rPr>
          <w:rFonts w:ascii="Bookman Old Style" w:hAnsi="Bookman Old Style"/>
          <w:b/>
          <w:sz w:val="22"/>
          <w:szCs w:val="22"/>
        </w:rPr>
        <w:t xml:space="preserve">Tale interpretazione è confermata anche dal </w:t>
      </w:r>
      <w:r w:rsidRPr="005E0DC1">
        <w:rPr>
          <w:rFonts w:ascii="Bookman Old Style" w:hAnsi="Bookman Old Style"/>
          <w:b/>
          <w:sz w:val="22"/>
          <w:szCs w:val="22"/>
          <w:u w:val="single"/>
        </w:rPr>
        <w:t>Ragioniere Generale dello Stato</w:t>
      </w:r>
      <w:r w:rsidRPr="005E0DC1">
        <w:rPr>
          <w:rFonts w:ascii="Bookman Old Style" w:hAnsi="Bookman Old Style"/>
          <w:b/>
          <w:sz w:val="22"/>
          <w:szCs w:val="22"/>
        </w:rPr>
        <w:t xml:space="preserve"> che con una nota indirizzata all’Associazione il 5 gennaio u.s. </w:t>
      </w:r>
      <w:r w:rsidR="005E0DC1">
        <w:rPr>
          <w:rFonts w:ascii="Bookman Old Style" w:hAnsi="Bookman Old Style"/>
          <w:b/>
          <w:sz w:val="22"/>
          <w:szCs w:val="22"/>
        </w:rPr>
        <w:t>e su</w:t>
      </w:r>
      <w:r w:rsidRPr="005E0DC1">
        <w:rPr>
          <w:rFonts w:ascii="Bookman Old Style" w:hAnsi="Bookman Old Style"/>
          <w:b/>
          <w:sz w:val="22"/>
          <w:szCs w:val="22"/>
        </w:rPr>
        <w:t xml:space="preserve"> richiesta</w:t>
      </w:r>
      <w:r w:rsidR="005E0DC1">
        <w:rPr>
          <w:rFonts w:ascii="Bookman Old Style" w:hAnsi="Bookman Old Style"/>
          <w:b/>
          <w:sz w:val="22"/>
          <w:szCs w:val="22"/>
        </w:rPr>
        <w:t xml:space="preserve"> della stessa</w:t>
      </w:r>
      <w:r w:rsidRPr="005E0DC1">
        <w:rPr>
          <w:rFonts w:ascii="Bookman Old Style" w:hAnsi="Bookman Old Style"/>
          <w:b/>
          <w:sz w:val="22"/>
          <w:szCs w:val="22"/>
        </w:rPr>
        <w:t xml:space="preserve">, al fine di evitare possibili dubbi applicativi, ritiene che </w:t>
      </w:r>
      <w:r w:rsidR="005E0DC1" w:rsidRPr="005E0DC1">
        <w:rPr>
          <w:rFonts w:ascii="Bookman Old Style" w:hAnsi="Bookman Old Style"/>
          <w:b/>
          <w:i/>
          <w:sz w:val="22"/>
          <w:szCs w:val="22"/>
        </w:rPr>
        <w:t>“</w:t>
      </w:r>
      <w:r w:rsidRPr="005E0DC1">
        <w:rPr>
          <w:rFonts w:ascii="Bookman Old Style" w:hAnsi="Bookman Old Style"/>
          <w:b/>
          <w:i/>
          <w:sz w:val="22"/>
          <w:szCs w:val="22"/>
          <w:u w:val="single"/>
        </w:rPr>
        <w:t xml:space="preserve">i predetti adeguamenti percentuali </w:t>
      </w:r>
      <w:r w:rsidR="005E0DC1" w:rsidRPr="005E0DC1">
        <w:rPr>
          <w:rFonts w:ascii="Bookman Old Style" w:hAnsi="Bookman Old Style"/>
          <w:b/>
          <w:i/>
          <w:sz w:val="22"/>
          <w:szCs w:val="22"/>
          <w:u w:val="single"/>
        </w:rPr>
        <w:t>vadano riferiti al differenziale incrementale tra la pregressa indennità di funzione attribuita a il nuovo importo a regime previsto dall’anno 2024, in relazione alla corrispondente fascia demografica di appartenenza</w:t>
      </w:r>
      <w:r w:rsidR="005E0DC1" w:rsidRPr="005E0DC1">
        <w:rPr>
          <w:rFonts w:ascii="Bookman Old Style" w:hAnsi="Bookman Old Style"/>
          <w:b/>
          <w:i/>
          <w:sz w:val="22"/>
          <w:szCs w:val="22"/>
        </w:rPr>
        <w:t>”</w:t>
      </w:r>
      <w:r w:rsidR="005E0DC1">
        <w:rPr>
          <w:rFonts w:ascii="Bookman Old Style" w:hAnsi="Bookman Old Style"/>
          <w:b/>
          <w:i/>
          <w:sz w:val="22"/>
          <w:szCs w:val="22"/>
        </w:rPr>
        <w:t xml:space="preserve"> ( cfr. lettera del Ragioniere Generale dello Stato all’Anci del 5 gennaio u.s.</w:t>
      </w:r>
      <w:r w:rsidR="005E0DC1" w:rsidRPr="005E0DC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5E0DC1">
        <w:rPr>
          <w:rFonts w:ascii="Bookman Old Style" w:hAnsi="Bookman Old Style"/>
          <w:b/>
          <w:i/>
          <w:sz w:val="22"/>
          <w:szCs w:val="22"/>
        </w:rPr>
        <w:t>)</w:t>
      </w:r>
    </w:p>
    <w:p w:rsidR="009F36A3" w:rsidRPr="009F36A3" w:rsidRDefault="009F36A3" w:rsidP="007872EB">
      <w:pPr>
        <w:pStyle w:val="Corpotesto"/>
        <w:spacing w:after="240" w:line="360" w:lineRule="auto"/>
        <w:ind w:right="49"/>
        <w:rPr>
          <w:rFonts w:ascii="Bookman Old Style" w:hAnsi="Bookman Old Style"/>
          <w:sz w:val="22"/>
          <w:szCs w:val="22"/>
        </w:rPr>
      </w:pPr>
      <w:r w:rsidRPr="009F36A3">
        <w:rPr>
          <w:rFonts w:ascii="Bookman Old Style" w:hAnsi="Bookman Old Style"/>
          <w:sz w:val="22"/>
          <w:szCs w:val="22"/>
        </w:rPr>
        <w:t xml:space="preserve">Il </w:t>
      </w:r>
      <w:r w:rsidRPr="00FB5522">
        <w:rPr>
          <w:rFonts w:ascii="Bookman Old Style" w:hAnsi="Bookman Old Style"/>
          <w:sz w:val="22"/>
          <w:szCs w:val="22"/>
          <w:u w:val="single"/>
        </w:rPr>
        <w:t xml:space="preserve">comma </w:t>
      </w:r>
      <w:r w:rsidR="001B0C35">
        <w:rPr>
          <w:rFonts w:ascii="Bookman Old Style" w:hAnsi="Bookman Old Style"/>
          <w:sz w:val="22"/>
          <w:szCs w:val="22"/>
          <w:u w:val="single"/>
        </w:rPr>
        <w:t>585</w:t>
      </w:r>
      <w:r w:rsidRPr="009F36A3">
        <w:rPr>
          <w:rFonts w:ascii="Bookman Old Style" w:hAnsi="Bookman Old Style"/>
          <w:sz w:val="22"/>
          <w:szCs w:val="22"/>
        </w:rPr>
        <w:t xml:space="preserve"> adegua le indennità di funzione da corrispondere ai vicesindaci, agli assessori ed ai presidenti dei consigli comunali</w:t>
      </w:r>
      <w:r w:rsidR="00403780">
        <w:rPr>
          <w:rFonts w:ascii="Bookman Old Style" w:hAnsi="Bookman Old Style"/>
          <w:sz w:val="22"/>
          <w:szCs w:val="22"/>
        </w:rPr>
        <w:t>,</w:t>
      </w:r>
      <w:r w:rsidRPr="009F36A3">
        <w:rPr>
          <w:rFonts w:ascii="Bookman Old Style" w:hAnsi="Bookman Old Style"/>
          <w:sz w:val="22"/>
          <w:szCs w:val="22"/>
        </w:rPr>
        <w:t xml:space="preserve"> all’indennità di funzione dei corrispondenti </w:t>
      </w:r>
      <w:r w:rsidR="008E2902">
        <w:rPr>
          <w:rFonts w:ascii="Bookman Old Style" w:hAnsi="Bookman Old Style"/>
          <w:sz w:val="22"/>
          <w:szCs w:val="22"/>
        </w:rPr>
        <w:t>Sindac</w:t>
      </w:r>
      <w:r w:rsidRPr="009F36A3">
        <w:rPr>
          <w:rFonts w:ascii="Bookman Old Style" w:hAnsi="Bookman Old Style"/>
          <w:sz w:val="22"/>
          <w:szCs w:val="22"/>
        </w:rPr>
        <w:t>i come incrementate per effetto del comma 1</w:t>
      </w:r>
      <w:r w:rsidR="00403780">
        <w:rPr>
          <w:rFonts w:ascii="Bookman Old Style" w:hAnsi="Bookman Old Style"/>
          <w:sz w:val="22"/>
          <w:szCs w:val="22"/>
        </w:rPr>
        <w:t xml:space="preserve">, </w:t>
      </w:r>
      <w:r w:rsidR="00403780" w:rsidRPr="00403780">
        <w:rPr>
          <w:rFonts w:ascii="Bookman Old Style" w:hAnsi="Bookman Old Style"/>
          <w:sz w:val="22"/>
          <w:szCs w:val="22"/>
        </w:rPr>
        <w:t>con l’applicazione delle percentuali previste per le</w:t>
      </w:r>
      <w:r w:rsidR="00403780">
        <w:rPr>
          <w:rFonts w:ascii="Bookman Old Style" w:hAnsi="Bookman Old Style"/>
          <w:sz w:val="22"/>
          <w:szCs w:val="22"/>
        </w:rPr>
        <w:t xml:space="preserve"> </w:t>
      </w:r>
      <w:r w:rsidR="00403780" w:rsidRPr="00403780">
        <w:rPr>
          <w:rFonts w:ascii="Bookman Old Style" w:hAnsi="Bookman Old Style"/>
          <w:sz w:val="22"/>
          <w:szCs w:val="22"/>
        </w:rPr>
        <w:t xml:space="preserve">medesime finalità dal </w:t>
      </w:r>
      <w:r w:rsidR="00403780">
        <w:rPr>
          <w:rFonts w:ascii="Bookman Old Style" w:hAnsi="Bookman Old Style"/>
          <w:sz w:val="22"/>
          <w:szCs w:val="22"/>
        </w:rPr>
        <w:t>citato DM 119/2000</w:t>
      </w:r>
      <w:r w:rsidRPr="009F36A3">
        <w:rPr>
          <w:rFonts w:ascii="Bookman Old Style" w:hAnsi="Bookman Old Style"/>
          <w:sz w:val="22"/>
          <w:szCs w:val="22"/>
        </w:rPr>
        <w:t>.</w:t>
      </w:r>
    </w:p>
    <w:p w:rsidR="009F36A3" w:rsidRPr="009F36A3" w:rsidRDefault="009F36A3" w:rsidP="00C036EB">
      <w:pPr>
        <w:pStyle w:val="Corpotesto"/>
        <w:spacing w:after="240" w:line="360" w:lineRule="auto"/>
        <w:ind w:right="49"/>
        <w:rPr>
          <w:rFonts w:ascii="Bookman Old Style" w:hAnsi="Bookman Old Style"/>
          <w:sz w:val="22"/>
          <w:szCs w:val="22"/>
        </w:rPr>
      </w:pPr>
      <w:r w:rsidRPr="009F36A3">
        <w:rPr>
          <w:rFonts w:ascii="Bookman Old Style" w:hAnsi="Bookman Old Style"/>
          <w:sz w:val="22"/>
          <w:szCs w:val="22"/>
        </w:rPr>
        <w:t xml:space="preserve">Il </w:t>
      </w:r>
      <w:r w:rsidRPr="00403780">
        <w:rPr>
          <w:rFonts w:ascii="Bookman Old Style" w:hAnsi="Bookman Old Style"/>
          <w:sz w:val="22"/>
          <w:szCs w:val="22"/>
          <w:u w:val="single"/>
        </w:rPr>
        <w:t xml:space="preserve">comma </w:t>
      </w:r>
      <w:r w:rsidR="001B0C35">
        <w:rPr>
          <w:rFonts w:ascii="Bookman Old Style" w:hAnsi="Bookman Old Style"/>
          <w:sz w:val="22"/>
          <w:szCs w:val="22"/>
          <w:u w:val="single"/>
        </w:rPr>
        <w:t>586</w:t>
      </w:r>
      <w:r w:rsidRPr="009F36A3">
        <w:rPr>
          <w:rFonts w:ascii="Bookman Old Style" w:hAnsi="Bookman Old Style"/>
          <w:sz w:val="22"/>
          <w:szCs w:val="22"/>
        </w:rPr>
        <w:t xml:space="preserve"> stanzia le risorse per 1’attuazione dei commi 1 e 2 incrementando di 100 milioni di euro per l’anno 2022, 150 milioni di euro per l’a</w:t>
      </w:r>
      <w:r w:rsidR="00F65F16">
        <w:rPr>
          <w:rFonts w:ascii="Bookman Old Style" w:hAnsi="Bookman Old Style"/>
          <w:sz w:val="22"/>
          <w:szCs w:val="22"/>
        </w:rPr>
        <w:t>n</w:t>
      </w:r>
      <w:r w:rsidRPr="009F36A3">
        <w:rPr>
          <w:rFonts w:ascii="Bookman Old Style" w:hAnsi="Bookman Old Style"/>
          <w:sz w:val="22"/>
          <w:szCs w:val="22"/>
        </w:rPr>
        <w:t xml:space="preserve">no 2023 e 220 milioni di euro a decorrere dall’anno 2024 il fondo destinato alla corresponsione dell’indennità di funzione minima per l’esercizio della carica di </w:t>
      </w:r>
      <w:r w:rsidR="008E2902">
        <w:rPr>
          <w:rFonts w:ascii="Bookman Old Style" w:hAnsi="Bookman Old Style"/>
          <w:sz w:val="22"/>
          <w:szCs w:val="22"/>
        </w:rPr>
        <w:t>Sindac</w:t>
      </w:r>
      <w:r w:rsidRPr="009F36A3">
        <w:rPr>
          <w:rFonts w:ascii="Bookman Old Style" w:hAnsi="Bookman Old Style"/>
          <w:sz w:val="22"/>
          <w:szCs w:val="22"/>
        </w:rPr>
        <w:t>o e per i presidenti di provincia di cui all’articolo 57-quater, comma 2, de</w:t>
      </w:r>
      <w:r w:rsidR="002877DA">
        <w:rPr>
          <w:rFonts w:ascii="Bookman Old Style" w:hAnsi="Bookman Old Style"/>
          <w:sz w:val="22"/>
          <w:szCs w:val="22"/>
        </w:rPr>
        <w:t>l</w:t>
      </w:r>
      <w:r w:rsidRPr="009F36A3">
        <w:rPr>
          <w:rFonts w:ascii="Bookman Old Style" w:hAnsi="Bookman Old Style"/>
          <w:sz w:val="22"/>
          <w:szCs w:val="22"/>
        </w:rPr>
        <w:t xml:space="preserve"> decreto legge 26 ottobre 2019, n. 124. </w:t>
      </w:r>
    </w:p>
    <w:p w:rsidR="009F36A3" w:rsidRPr="009F36A3" w:rsidRDefault="009F36A3" w:rsidP="00C036EB">
      <w:pPr>
        <w:pStyle w:val="Corpotesto"/>
        <w:spacing w:after="240" w:line="360" w:lineRule="auto"/>
        <w:ind w:right="49"/>
        <w:rPr>
          <w:rFonts w:ascii="Bookman Old Style" w:hAnsi="Bookman Old Style"/>
          <w:sz w:val="22"/>
          <w:szCs w:val="22"/>
        </w:rPr>
      </w:pPr>
      <w:r w:rsidRPr="009F36A3">
        <w:rPr>
          <w:rFonts w:ascii="Bookman Old Style" w:hAnsi="Bookman Old Style"/>
          <w:sz w:val="22"/>
          <w:szCs w:val="22"/>
        </w:rPr>
        <w:t xml:space="preserve">Il </w:t>
      </w:r>
      <w:r w:rsidRPr="00FE1AF4">
        <w:rPr>
          <w:rFonts w:ascii="Bookman Old Style" w:hAnsi="Bookman Old Style"/>
          <w:sz w:val="22"/>
          <w:szCs w:val="22"/>
          <w:u w:val="single"/>
        </w:rPr>
        <w:t xml:space="preserve">comma </w:t>
      </w:r>
      <w:r w:rsidR="00403780" w:rsidRPr="00FE1AF4">
        <w:rPr>
          <w:rFonts w:ascii="Bookman Old Style" w:hAnsi="Bookman Old Style"/>
          <w:sz w:val="22"/>
          <w:szCs w:val="22"/>
          <w:u w:val="single"/>
        </w:rPr>
        <w:t>5</w:t>
      </w:r>
      <w:r w:rsidR="001B0C35">
        <w:rPr>
          <w:rFonts w:ascii="Bookman Old Style" w:hAnsi="Bookman Old Style"/>
          <w:sz w:val="22"/>
          <w:szCs w:val="22"/>
          <w:u w:val="single"/>
        </w:rPr>
        <w:t>87</w:t>
      </w:r>
      <w:r w:rsidRPr="009F36A3">
        <w:rPr>
          <w:rFonts w:ascii="Bookman Old Style" w:hAnsi="Bookman Old Style"/>
          <w:sz w:val="22"/>
          <w:szCs w:val="22"/>
        </w:rPr>
        <w:t xml:space="preserve"> demanda a un decreto del Ministro dell</w:t>
      </w:r>
      <w:r w:rsidR="0005092F">
        <w:rPr>
          <w:rFonts w:ascii="Bookman Old Style" w:hAnsi="Bookman Old Style"/>
          <w:sz w:val="22"/>
          <w:szCs w:val="22"/>
        </w:rPr>
        <w:t>’</w:t>
      </w:r>
      <w:r w:rsidRPr="009F36A3">
        <w:rPr>
          <w:rFonts w:ascii="Bookman Old Style" w:hAnsi="Bookman Old Style"/>
          <w:sz w:val="22"/>
          <w:szCs w:val="22"/>
        </w:rPr>
        <w:t xml:space="preserve">interno, di concerto con il Ministro dell'economia e delle finanze, previa intesa in sede di Conferenza Stato-città ed autonomie </w:t>
      </w:r>
      <w:r w:rsidRPr="009F36A3">
        <w:rPr>
          <w:rFonts w:ascii="Bookman Old Style" w:hAnsi="Bookman Old Style"/>
          <w:sz w:val="22"/>
          <w:szCs w:val="22"/>
        </w:rPr>
        <w:lastRenderedPageBreak/>
        <w:t>locali</w:t>
      </w:r>
      <w:r w:rsidR="00403780">
        <w:rPr>
          <w:rFonts w:ascii="Bookman Old Style" w:hAnsi="Bookman Old Style"/>
          <w:sz w:val="22"/>
          <w:szCs w:val="22"/>
        </w:rPr>
        <w:t>,</w:t>
      </w:r>
      <w:r w:rsidRPr="009F36A3">
        <w:rPr>
          <w:rFonts w:ascii="Bookman Old Style" w:hAnsi="Bookman Old Style"/>
          <w:sz w:val="22"/>
          <w:szCs w:val="22"/>
        </w:rPr>
        <w:t xml:space="preserve"> la ripartizione delle risorse tra i </w:t>
      </w:r>
      <w:r w:rsidR="00403780">
        <w:rPr>
          <w:rFonts w:ascii="Bookman Old Style" w:hAnsi="Bookman Old Style"/>
          <w:sz w:val="22"/>
          <w:szCs w:val="22"/>
        </w:rPr>
        <w:t>C</w:t>
      </w:r>
      <w:r w:rsidRPr="009F36A3">
        <w:rPr>
          <w:rFonts w:ascii="Bookman Old Style" w:hAnsi="Bookman Old Style"/>
          <w:sz w:val="22"/>
          <w:szCs w:val="22"/>
        </w:rPr>
        <w:t xml:space="preserve">omuni interessati e dispone che i </w:t>
      </w:r>
      <w:r w:rsidR="00403780">
        <w:rPr>
          <w:rFonts w:ascii="Bookman Old Style" w:hAnsi="Bookman Old Style"/>
          <w:sz w:val="22"/>
          <w:szCs w:val="22"/>
        </w:rPr>
        <w:t>C</w:t>
      </w:r>
      <w:r w:rsidRPr="009F36A3">
        <w:rPr>
          <w:rFonts w:ascii="Bookman Old Style" w:hAnsi="Bookman Old Style"/>
          <w:sz w:val="22"/>
          <w:szCs w:val="22"/>
        </w:rPr>
        <w:t>omuni beneficiari riversino ad apposito capitolo di entrata del bilancio dello Stato l’importo del contributo non utilizzato nell’esercizio finanziario.</w:t>
      </w:r>
    </w:p>
    <w:p w:rsidR="00FE1AF4" w:rsidRPr="00F65F3A" w:rsidRDefault="00FE1AF4" w:rsidP="00FE1AF4">
      <w:pPr>
        <w:pStyle w:val="Corpotesto"/>
        <w:spacing w:before="1" w:line="360" w:lineRule="auto"/>
        <w:ind w:right="7"/>
        <w:rPr>
          <w:rFonts w:ascii="Bookman Old Style" w:eastAsia="Calibri" w:hAnsi="Bookman Old Style" w:cs="Calibri"/>
          <w:sz w:val="22"/>
          <w:szCs w:val="22"/>
        </w:rPr>
      </w:pPr>
      <w:r>
        <w:rPr>
          <w:rFonts w:ascii="Bookman Old Style" w:eastAsia="Calibri" w:hAnsi="Bookman Old Style" w:cs="Calibri"/>
          <w:sz w:val="22"/>
          <w:szCs w:val="22"/>
        </w:rPr>
        <w:t xml:space="preserve">Si </w:t>
      </w:r>
      <w:r w:rsidRPr="00F65F3A">
        <w:rPr>
          <w:rFonts w:ascii="Bookman Old Style" w:eastAsia="Calibri" w:hAnsi="Bookman Old Style" w:cs="Calibri"/>
          <w:sz w:val="22"/>
          <w:szCs w:val="22"/>
        </w:rPr>
        <w:t>riporta</w:t>
      </w:r>
      <w:r>
        <w:rPr>
          <w:rFonts w:ascii="Bookman Old Style" w:eastAsia="Calibri" w:hAnsi="Bookman Old Style" w:cs="Calibri"/>
          <w:sz w:val="22"/>
          <w:szCs w:val="22"/>
        </w:rPr>
        <w:t xml:space="preserve">no di seguito </w:t>
      </w:r>
      <w:r w:rsidRPr="00F65F3A">
        <w:rPr>
          <w:rFonts w:ascii="Bookman Old Style" w:eastAsia="Calibri" w:hAnsi="Bookman Old Style" w:cs="Calibri"/>
          <w:sz w:val="22"/>
          <w:szCs w:val="22"/>
        </w:rPr>
        <w:t xml:space="preserve">due tabelle </w:t>
      </w:r>
      <w:r>
        <w:rPr>
          <w:rFonts w:ascii="Bookman Old Style" w:eastAsia="Calibri" w:hAnsi="Bookman Old Style" w:cs="Calibri"/>
          <w:sz w:val="22"/>
          <w:szCs w:val="22"/>
        </w:rPr>
        <w:t>relative</w:t>
      </w:r>
      <w:r w:rsidRPr="00F65F3A">
        <w:rPr>
          <w:rFonts w:ascii="Bookman Old Style" w:eastAsia="Calibri" w:hAnsi="Bookman Old Style" w:cs="Calibri"/>
          <w:sz w:val="22"/>
          <w:szCs w:val="22"/>
        </w:rPr>
        <w:t xml:space="preserve"> </w:t>
      </w:r>
      <w:r>
        <w:rPr>
          <w:rFonts w:ascii="Bookman Old Style" w:eastAsia="Calibri" w:hAnsi="Bookman Old Style" w:cs="Calibri"/>
          <w:sz w:val="22"/>
          <w:szCs w:val="22"/>
        </w:rPr>
        <w:t>al</w:t>
      </w:r>
      <w:r w:rsidRPr="00F65F3A">
        <w:rPr>
          <w:rFonts w:ascii="Bookman Old Style" w:eastAsia="Calibri" w:hAnsi="Bookman Old Style" w:cs="Calibri"/>
          <w:sz w:val="22"/>
          <w:szCs w:val="22"/>
        </w:rPr>
        <w:t>la quantificazione dell</w:t>
      </w:r>
      <w:r>
        <w:rPr>
          <w:rFonts w:ascii="Bookman Old Style" w:eastAsia="Calibri" w:hAnsi="Bookman Old Style" w:cs="Calibri"/>
          <w:sz w:val="22"/>
          <w:szCs w:val="22"/>
        </w:rPr>
        <w:t>’</w:t>
      </w:r>
      <w:r w:rsidRPr="00F65F3A">
        <w:rPr>
          <w:rFonts w:ascii="Bookman Old Style" w:eastAsia="Calibri" w:hAnsi="Bookman Old Style" w:cs="Calibri"/>
          <w:sz w:val="22"/>
          <w:szCs w:val="22"/>
        </w:rPr>
        <w:t xml:space="preserve">indennità dei </w:t>
      </w:r>
      <w:r>
        <w:rPr>
          <w:rFonts w:ascii="Bookman Old Style" w:eastAsia="Calibri" w:hAnsi="Bookman Old Style" w:cs="Calibri"/>
          <w:sz w:val="22"/>
          <w:szCs w:val="22"/>
        </w:rPr>
        <w:t>S</w:t>
      </w:r>
      <w:r w:rsidRPr="00F65F3A">
        <w:rPr>
          <w:rFonts w:ascii="Bookman Old Style" w:eastAsia="Calibri" w:hAnsi="Bookman Old Style" w:cs="Calibri"/>
          <w:sz w:val="22"/>
          <w:szCs w:val="22"/>
        </w:rPr>
        <w:t>indaci</w:t>
      </w:r>
      <w:r w:rsidR="007872EB">
        <w:rPr>
          <w:rFonts w:ascii="Bookman Old Style" w:eastAsia="Calibri" w:hAnsi="Bookman Old Style" w:cs="Calibri"/>
          <w:sz w:val="22"/>
          <w:szCs w:val="22"/>
        </w:rPr>
        <w:t xml:space="preserve"> </w:t>
      </w:r>
      <w:r w:rsidRPr="00F65F3A">
        <w:rPr>
          <w:rFonts w:ascii="Bookman Old Style" w:eastAsia="Calibri" w:hAnsi="Bookman Old Style" w:cs="Calibri"/>
          <w:sz w:val="22"/>
          <w:szCs w:val="22"/>
        </w:rPr>
        <w:t>e l</w:t>
      </w:r>
      <w:r>
        <w:rPr>
          <w:rFonts w:ascii="Bookman Old Style" w:eastAsia="Calibri" w:hAnsi="Bookman Old Style" w:cs="Calibri"/>
          <w:sz w:val="22"/>
          <w:szCs w:val="22"/>
        </w:rPr>
        <w:t>’</w:t>
      </w:r>
      <w:r w:rsidRPr="00F65F3A">
        <w:rPr>
          <w:rFonts w:ascii="Bookman Old Style" w:eastAsia="Calibri" w:hAnsi="Bookman Old Style" w:cs="Calibri"/>
          <w:sz w:val="22"/>
          <w:szCs w:val="22"/>
        </w:rPr>
        <w:t>indennità degli altri amministratori</w:t>
      </w:r>
      <w:r w:rsidR="00436AFA">
        <w:rPr>
          <w:rFonts w:ascii="Bookman Old Style" w:eastAsia="Calibri" w:hAnsi="Bookman Old Style" w:cs="Calibri"/>
          <w:sz w:val="22"/>
          <w:szCs w:val="22"/>
        </w:rPr>
        <w:t xml:space="preserve"> adeguate agli aumenti previsti dalla norma in commento</w:t>
      </w:r>
      <w:r w:rsidRPr="00F65F3A">
        <w:rPr>
          <w:rFonts w:ascii="Bookman Old Style" w:eastAsia="Calibri" w:hAnsi="Bookman Old Style" w:cs="Calibri"/>
          <w:sz w:val="22"/>
          <w:szCs w:val="22"/>
        </w:rPr>
        <w:t>.</w:t>
      </w:r>
    </w:p>
    <w:p w:rsidR="00FE1AF4" w:rsidRDefault="00FE1AF4" w:rsidP="00FE1AF4">
      <w:pPr>
        <w:pStyle w:val="Corpotesto"/>
        <w:spacing w:before="1" w:line="278" w:lineRule="auto"/>
        <w:ind w:right="750"/>
        <w:rPr>
          <w:rFonts w:ascii="Bookman Old Style" w:hAnsi="Bookman Old Style"/>
          <w:sz w:val="22"/>
          <w:szCs w:val="22"/>
        </w:rPr>
      </w:pPr>
    </w:p>
    <w:p w:rsidR="00E624D9" w:rsidRDefault="00E624D9" w:rsidP="006F67B7">
      <w:pPr>
        <w:rPr>
          <w:rFonts w:ascii="Bookman Old Style" w:hAnsi="Bookman Old Style"/>
          <w:b/>
          <w:lang w:val="it-IT"/>
        </w:rPr>
      </w:pPr>
    </w:p>
    <w:p w:rsidR="00715B4E" w:rsidRPr="00644E59" w:rsidRDefault="00715B4E">
      <w:pPr>
        <w:rPr>
          <w:i/>
          <w:sz w:val="29"/>
          <w:lang w:val="it-IT"/>
        </w:rPr>
        <w:sectPr w:rsidR="00715B4E" w:rsidRPr="00644E59" w:rsidSect="00972081">
          <w:footerReference w:type="default" r:id="rId9"/>
          <w:pgSz w:w="12240" w:h="15840"/>
          <w:pgMar w:top="1417" w:right="1134" w:bottom="1134" w:left="1134" w:header="720" w:footer="720" w:gutter="0"/>
          <w:cols w:space="720"/>
          <w:docGrid w:linePitch="360"/>
        </w:sectPr>
      </w:pPr>
    </w:p>
    <w:p w:rsidR="007872EB" w:rsidRPr="00A47708" w:rsidRDefault="007872EB" w:rsidP="00A47708">
      <w:pPr>
        <w:pStyle w:val="Paragrafoelenco"/>
        <w:numPr>
          <w:ilvl w:val="0"/>
          <w:numId w:val="9"/>
        </w:numPr>
        <w:spacing w:before="240"/>
        <w:rPr>
          <w:rFonts w:ascii="Bookman Old Style" w:hAnsi="Bookman Old Style"/>
          <w:b/>
          <w:bCs/>
          <w:i/>
          <w:iCs/>
        </w:rPr>
      </w:pPr>
      <w:r w:rsidRPr="00A47708">
        <w:rPr>
          <w:rFonts w:ascii="Bookman Old Style" w:hAnsi="Bookman Old Style"/>
          <w:b/>
          <w:bCs/>
          <w:i/>
          <w:iCs/>
        </w:rPr>
        <w:lastRenderedPageBreak/>
        <w:t>Indicazioni operative</w:t>
      </w:r>
      <w:r w:rsidR="00114811" w:rsidRPr="00A47708">
        <w:rPr>
          <w:rFonts w:ascii="Bookman Old Style" w:hAnsi="Bookman Old Style"/>
          <w:b/>
          <w:bCs/>
          <w:i/>
          <w:iCs/>
        </w:rPr>
        <w:t xml:space="preserve"> </w:t>
      </w:r>
    </w:p>
    <w:p w:rsidR="00436AFA" w:rsidRPr="003673BD" w:rsidRDefault="00436AFA" w:rsidP="0041523D">
      <w:pPr>
        <w:spacing w:before="240" w:line="360" w:lineRule="auto"/>
        <w:jc w:val="both"/>
        <w:rPr>
          <w:rFonts w:ascii="Bookman Old Style" w:hAnsi="Bookman Old Style"/>
          <w:color w:val="1C1C1C"/>
          <w:lang w:val="it-IT"/>
        </w:rPr>
      </w:pPr>
      <w:r>
        <w:rPr>
          <w:rFonts w:ascii="Bookman Old Style" w:hAnsi="Bookman Old Style"/>
          <w:color w:val="1C1C1C"/>
          <w:lang w:val="it-IT"/>
        </w:rPr>
        <w:t xml:space="preserve">Al fine di supportare i Comuni nell’attuazione della norma in esame, </w:t>
      </w:r>
      <w:r w:rsidRPr="003673BD">
        <w:rPr>
          <w:rFonts w:ascii="Bookman Old Style" w:hAnsi="Bookman Old Style"/>
          <w:color w:val="1C1C1C"/>
          <w:lang w:val="it-IT"/>
        </w:rPr>
        <w:t>si possono distinguere due specifiche fattispecie</w:t>
      </w:r>
      <w:r w:rsidR="00315484" w:rsidRPr="003673BD">
        <w:rPr>
          <w:rFonts w:ascii="Bookman Old Style" w:hAnsi="Bookman Old Style"/>
          <w:color w:val="1C1C1C"/>
          <w:lang w:val="it-IT"/>
        </w:rPr>
        <w:t>:</w:t>
      </w:r>
    </w:p>
    <w:p w:rsidR="00315484" w:rsidRPr="001E356E" w:rsidRDefault="003673BD" w:rsidP="00A47708">
      <w:pPr>
        <w:spacing w:line="360" w:lineRule="auto"/>
        <w:jc w:val="both"/>
        <w:rPr>
          <w:rFonts w:ascii="Bookman Old Style" w:hAnsi="Bookman Old Style"/>
          <w:b/>
          <w:bCs/>
          <w:i/>
          <w:iCs/>
          <w:strike/>
          <w:highlight w:val="yellow"/>
          <w:lang w:val="it-IT"/>
        </w:rPr>
      </w:pPr>
      <w:r w:rsidRPr="001E356E">
        <w:rPr>
          <w:rFonts w:ascii="Bookman Old Style" w:hAnsi="Bookman Old Style"/>
          <w:b/>
          <w:bCs/>
          <w:i/>
          <w:iCs/>
          <w:color w:val="1C1C1C"/>
          <w:u w:val="single"/>
          <w:lang w:val="it-IT"/>
        </w:rPr>
        <w:t>1</w:t>
      </w:r>
      <w:r w:rsidRPr="001E356E">
        <w:rPr>
          <w:rFonts w:ascii="Bookman Old Style" w:hAnsi="Bookman Old Style"/>
          <w:b/>
          <w:bCs/>
          <w:i/>
          <w:iCs/>
          <w:u w:val="single"/>
          <w:lang w:val="it-IT"/>
        </w:rPr>
        <w:t xml:space="preserve">) </w:t>
      </w:r>
      <w:r w:rsidR="00F34138" w:rsidRPr="001E356E">
        <w:rPr>
          <w:rFonts w:ascii="Bookman Old Style" w:hAnsi="Bookman Old Style"/>
          <w:b/>
          <w:bCs/>
          <w:i/>
          <w:iCs/>
          <w:u w:val="single"/>
          <w:lang w:val="it-IT"/>
        </w:rPr>
        <w:t>A</w:t>
      </w:r>
      <w:r w:rsidR="00315484" w:rsidRPr="001E356E">
        <w:rPr>
          <w:rFonts w:ascii="Bookman Old Style" w:hAnsi="Bookman Old Style"/>
          <w:b/>
          <w:bCs/>
          <w:i/>
          <w:iCs/>
          <w:u w:val="single"/>
          <w:lang w:val="it-IT"/>
        </w:rPr>
        <w:t>deguamento delle indennità, come previsto dalla norma, in modo graduale</w:t>
      </w:r>
      <w:r w:rsidR="00E0394C" w:rsidRPr="001E356E">
        <w:rPr>
          <w:rFonts w:ascii="Bookman Old Style" w:hAnsi="Bookman Old Style"/>
          <w:b/>
          <w:bCs/>
          <w:i/>
          <w:iCs/>
          <w:u w:val="single"/>
          <w:lang w:val="it-IT"/>
        </w:rPr>
        <w:t xml:space="preserve"> nell’arco del triennio 2022-2024.</w:t>
      </w:r>
      <w:r w:rsidR="00315484" w:rsidRPr="001E356E">
        <w:rPr>
          <w:rFonts w:ascii="Bookman Old Style" w:hAnsi="Bookman Old Style"/>
          <w:b/>
          <w:bCs/>
          <w:i/>
          <w:iCs/>
          <w:lang w:val="it-IT"/>
        </w:rPr>
        <w:t xml:space="preserve"> </w:t>
      </w:r>
    </w:p>
    <w:p w:rsidR="008161B1" w:rsidRPr="00A47708" w:rsidRDefault="00CA4AB8" w:rsidP="00A47708">
      <w:pPr>
        <w:spacing w:line="360" w:lineRule="auto"/>
        <w:jc w:val="both"/>
        <w:rPr>
          <w:rFonts w:ascii="Bookman Old Style" w:hAnsi="Bookman Old Style"/>
          <w:lang w:val="it-IT"/>
        </w:rPr>
      </w:pPr>
      <w:r w:rsidRPr="00A47708">
        <w:rPr>
          <w:rFonts w:ascii="Bookman Old Style" w:hAnsi="Bookman Old Style"/>
          <w:lang w:val="it-IT"/>
        </w:rPr>
        <w:t xml:space="preserve">L’applicazione delle misure delle indennità </w:t>
      </w:r>
      <w:r w:rsidR="003673BD" w:rsidRPr="00A47708">
        <w:rPr>
          <w:rFonts w:ascii="Bookman Old Style" w:hAnsi="Bookman Old Style"/>
          <w:lang w:val="it-IT"/>
        </w:rPr>
        <w:t>negli importi derivanti</w:t>
      </w:r>
      <w:r w:rsidRPr="00A47708">
        <w:rPr>
          <w:rFonts w:ascii="Bookman Old Style" w:hAnsi="Bookman Old Style"/>
          <w:lang w:val="it-IT"/>
        </w:rPr>
        <w:t xml:space="preserve"> dal nuovo assetto normativo è effettuata direttamente dal dirigente/responsabile competente, </w:t>
      </w:r>
      <w:r w:rsidR="003673BD" w:rsidRPr="00A47708">
        <w:rPr>
          <w:rFonts w:ascii="Bookman Old Style" w:hAnsi="Bookman Old Style"/>
          <w:lang w:val="it-IT"/>
        </w:rPr>
        <w:t xml:space="preserve">mediante l’adozione di </w:t>
      </w:r>
      <w:r w:rsidRPr="00A47708">
        <w:rPr>
          <w:rFonts w:ascii="Bookman Old Style" w:hAnsi="Bookman Old Style"/>
          <w:lang w:val="it-IT"/>
        </w:rPr>
        <w:t xml:space="preserve">propria determinazione dato che si tratta di dare mera </w:t>
      </w:r>
      <w:r w:rsidR="003673BD" w:rsidRPr="00A47708">
        <w:rPr>
          <w:rFonts w:ascii="Bookman Old Style" w:hAnsi="Bookman Old Style"/>
          <w:lang w:val="it-IT"/>
        </w:rPr>
        <w:t xml:space="preserve">attuazione </w:t>
      </w:r>
      <w:r w:rsidRPr="00A47708">
        <w:rPr>
          <w:rFonts w:ascii="Bookman Old Style" w:hAnsi="Bookman Old Style"/>
          <w:lang w:val="it-IT"/>
        </w:rPr>
        <w:t>ad una disposizione di legge</w:t>
      </w:r>
      <w:r w:rsidR="001A1D0F" w:rsidRPr="00A47708">
        <w:rPr>
          <w:rFonts w:ascii="Bookman Old Style" w:hAnsi="Bookman Old Style"/>
          <w:lang w:val="it-IT"/>
        </w:rPr>
        <w:t xml:space="preserve">. </w:t>
      </w:r>
    </w:p>
    <w:p w:rsidR="00EC6678" w:rsidRPr="00A47708" w:rsidRDefault="008161B1" w:rsidP="00A47708">
      <w:pPr>
        <w:spacing w:line="360" w:lineRule="auto"/>
        <w:jc w:val="both"/>
        <w:rPr>
          <w:rFonts w:ascii="Bookman Old Style" w:hAnsi="Bookman Old Style"/>
          <w:lang w:val="it-IT"/>
        </w:rPr>
      </w:pPr>
      <w:r w:rsidRPr="00A47708">
        <w:rPr>
          <w:rFonts w:ascii="Bookman Old Style" w:hAnsi="Bookman Old Style"/>
          <w:lang w:val="it-IT"/>
        </w:rPr>
        <w:t>Si ritiene, infatti, applicabile quanto statuito dalla circolare 5 giugno 20</w:t>
      </w:r>
      <w:r w:rsidR="00181918">
        <w:rPr>
          <w:rFonts w:ascii="Bookman Old Style" w:hAnsi="Bookman Old Style"/>
          <w:lang w:val="it-IT"/>
        </w:rPr>
        <w:t>0</w:t>
      </w:r>
      <w:r w:rsidRPr="00A47708">
        <w:rPr>
          <w:rFonts w:ascii="Bookman Old Style" w:hAnsi="Bookman Old Style"/>
          <w:lang w:val="it-IT"/>
        </w:rPr>
        <w:t>0 n.</w:t>
      </w:r>
      <w:r w:rsidR="00D957B8" w:rsidRPr="00A47708">
        <w:rPr>
          <w:rFonts w:ascii="Bookman Old Style" w:hAnsi="Bookman Old Style"/>
          <w:lang w:val="it-IT"/>
        </w:rPr>
        <w:t xml:space="preserve"> </w:t>
      </w:r>
      <w:r w:rsidRPr="00A47708">
        <w:rPr>
          <w:rFonts w:ascii="Bookman Old Style" w:hAnsi="Bookman Old Style"/>
          <w:lang w:val="it-IT"/>
        </w:rPr>
        <w:t xml:space="preserve">5 del Ministero dell’interno che fornisce indicazioni circa la misura delle indennità di funzione e dei gettoni di presenza per gli amministratori locali. </w:t>
      </w:r>
    </w:p>
    <w:p w:rsidR="00EC6678" w:rsidRPr="00A47708" w:rsidRDefault="00D957B8" w:rsidP="00A47708">
      <w:pPr>
        <w:spacing w:line="360" w:lineRule="auto"/>
        <w:jc w:val="both"/>
        <w:rPr>
          <w:rFonts w:ascii="Bookman Old Style" w:hAnsi="Bookman Old Style"/>
          <w:lang w:val="it-IT"/>
        </w:rPr>
      </w:pPr>
      <w:r w:rsidRPr="00A47708">
        <w:rPr>
          <w:rFonts w:ascii="Bookman Old Style" w:hAnsi="Bookman Old Style"/>
          <w:lang w:val="it-IT"/>
        </w:rPr>
        <w:t xml:space="preserve">Già in tale circolare, </w:t>
      </w:r>
      <w:r w:rsidR="00053A05" w:rsidRPr="00A47708">
        <w:rPr>
          <w:rFonts w:ascii="Bookman Old Style" w:hAnsi="Bookman Old Style"/>
          <w:lang w:val="it-IT"/>
        </w:rPr>
        <w:t xml:space="preserve">infatti, </w:t>
      </w:r>
      <w:r w:rsidRPr="00A47708">
        <w:rPr>
          <w:rFonts w:ascii="Bookman Old Style" w:hAnsi="Bookman Old Style"/>
          <w:lang w:val="it-IT"/>
        </w:rPr>
        <w:t>il Viminale</w:t>
      </w:r>
      <w:r w:rsidR="005A106D" w:rsidRPr="00A47708">
        <w:rPr>
          <w:rFonts w:ascii="Bookman Old Style" w:hAnsi="Bookman Old Style"/>
          <w:lang w:val="it-IT"/>
        </w:rPr>
        <w:t>,</w:t>
      </w:r>
      <w:r w:rsidRPr="00A47708">
        <w:rPr>
          <w:rFonts w:ascii="Bookman Old Style" w:hAnsi="Bookman Old Style"/>
          <w:lang w:val="it-IT"/>
        </w:rPr>
        <w:t xml:space="preserve"> </w:t>
      </w:r>
      <w:r w:rsidR="005A106D" w:rsidRPr="00A47708">
        <w:rPr>
          <w:rFonts w:ascii="Bookman Old Style" w:hAnsi="Bookman Old Style"/>
          <w:lang w:val="it-IT"/>
        </w:rPr>
        <w:t>a</w:t>
      </w:r>
      <w:r w:rsidR="00053A05" w:rsidRPr="00A47708">
        <w:rPr>
          <w:rFonts w:ascii="Bookman Old Style" w:hAnsi="Bookman Old Style"/>
          <w:lang w:val="it-IT"/>
        </w:rPr>
        <w:t>rgomentando l’automaticità degli adeguamenti previsti dalla norma, prevedeva</w:t>
      </w:r>
      <w:r w:rsidR="005A106D" w:rsidRPr="00A47708">
        <w:rPr>
          <w:rFonts w:ascii="Bookman Old Style" w:hAnsi="Bookman Old Style"/>
          <w:lang w:val="it-IT"/>
        </w:rPr>
        <w:t>,</w:t>
      </w:r>
      <w:r w:rsidR="00053A05" w:rsidRPr="00A47708">
        <w:rPr>
          <w:rFonts w:ascii="Bookman Old Style" w:hAnsi="Bookman Old Style"/>
          <w:lang w:val="it-IT"/>
        </w:rPr>
        <w:t xml:space="preserve"> </w:t>
      </w:r>
      <w:r w:rsidR="005A106D" w:rsidRPr="00A47708">
        <w:rPr>
          <w:rFonts w:ascii="Bookman Old Style" w:hAnsi="Bookman Old Style"/>
          <w:lang w:val="it-IT"/>
        </w:rPr>
        <w:t xml:space="preserve">per ciò che attiene agli organi competenti alla determinazione di tali indennità, </w:t>
      </w:r>
      <w:r w:rsidR="00053A05" w:rsidRPr="00A47708">
        <w:rPr>
          <w:rFonts w:ascii="Bookman Old Style" w:hAnsi="Bookman Old Style"/>
          <w:lang w:val="it-IT"/>
        </w:rPr>
        <w:t xml:space="preserve">la </w:t>
      </w:r>
      <w:r w:rsidR="005A106D" w:rsidRPr="00A47708">
        <w:rPr>
          <w:rFonts w:ascii="Bookman Old Style" w:hAnsi="Bookman Old Style"/>
          <w:lang w:val="it-IT"/>
        </w:rPr>
        <w:t>competenza</w:t>
      </w:r>
      <w:r w:rsidR="00053A05" w:rsidRPr="00A47708">
        <w:rPr>
          <w:rFonts w:ascii="Bookman Old Style" w:hAnsi="Bookman Old Style"/>
          <w:lang w:val="it-IT"/>
        </w:rPr>
        <w:t xml:space="preserve"> </w:t>
      </w:r>
      <w:r w:rsidR="00294F23" w:rsidRPr="00A47708">
        <w:rPr>
          <w:rFonts w:ascii="Bookman Old Style" w:hAnsi="Bookman Old Style"/>
          <w:lang w:val="it-IT"/>
        </w:rPr>
        <w:t>d</w:t>
      </w:r>
      <w:r w:rsidR="005A106D" w:rsidRPr="00A47708">
        <w:rPr>
          <w:rFonts w:ascii="Bookman Old Style" w:hAnsi="Bookman Old Style"/>
          <w:lang w:val="it-IT"/>
        </w:rPr>
        <w:t>e</w:t>
      </w:r>
      <w:r w:rsidR="00294F23" w:rsidRPr="00A47708">
        <w:rPr>
          <w:rFonts w:ascii="Bookman Old Style" w:hAnsi="Bookman Old Style"/>
          <w:lang w:val="it-IT"/>
        </w:rPr>
        <w:t>l dirigente con proprio provvedimento.</w:t>
      </w:r>
    </w:p>
    <w:p w:rsidR="004D5616" w:rsidRPr="00A47708" w:rsidRDefault="004D5616" w:rsidP="00A47708">
      <w:pPr>
        <w:spacing w:line="360" w:lineRule="auto"/>
        <w:jc w:val="both"/>
        <w:rPr>
          <w:rFonts w:ascii="Bookman Old Style" w:hAnsi="Bookman Old Style"/>
          <w:lang w:val="it-IT"/>
        </w:rPr>
      </w:pPr>
      <w:r w:rsidRPr="00A47708">
        <w:rPr>
          <w:rFonts w:ascii="Bookman Old Style" w:hAnsi="Bookman Old Style"/>
          <w:lang w:val="it-IT"/>
        </w:rPr>
        <w:t>Dunque, prevedendo il c</w:t>
      </w:r>
      <w:r w:rsidR="000B7BCD" w:rsidRPr="00A47708">
        <w:rPr>
          <w:rFonts w:ascii="Bookman Old Style" w:hAnsi="Bookman Old Style"/>
          <w:lang w:val="it-IT"/>
        </w:rPr>
        <w:t xml:space="preserve">omma 584 </w:t>
      </w:r>
      <w:proofErr w:type="spellStart"/>
      <w:r w:rsidR="000B7BCD" w:rsidRPr="00A47708">
        <w:rPr>
          <w:rFonts w:ascii="Bookman Old Style" w:hAnsi="Bookman Old Style"/>
          <w:lang w:val="it-IT"/>
        </w:rPr>
        <w:t>surrichiam</w:t>
      </w:r>
      <w:r w:rsidR="00A45367" w:rsidRPr="00A47708">
        <w:rPr>
          <w:rFonts w:ascii="Bookman Old Style" w:hAnsi="Bookman Old Style"/>
          <w:lang w:val="it-IT"/>
        </w:rPr>
        <w:t>a</w:t>
      </w:r>
      <w:r w:rsidR="000B7BCD" w:rsidRPr="00A47708">
        <w:rPr>
          <w:rFonts w:ascii="Bookman Old Style" w:hAnsi="Bookman Old Style"/>
          <w:lang w:val="it-IT"/>
        </w:rPr>
        <w:t>to</w:t>
      </w:r>
      <w:proofErr w:type="spellEnd"/>
      <w:r w:rsidR="000B7BCD" w:rsidRPr="00A47708">
        <w:rPr>
          <w:rFonts w:ascii="Bookman Old Style" w:hAnsi="Bookman Old Style"/>
          <w:lang w:val="it-IT"/>
        </w:rPr>
        <w:t xml:space="preserve">, le percentuali del 45% </w:t>
      </w:r>
      <w:r w:rsidR="00494E44" w:rsidRPr="00A47708">
        <w:rPr>
          <w:rFonts w:ascii="Bookman Old Style" w:hAnsi="Bookman Old Style"/>
          <w:lang w:val="it-IT"/>
        </w:rPr>
        <w:t xml:space="preserve">e del 68% </w:t>
      </w:r>
      <w:r w:rsidR="000F55C9" w:rsidRPr="00A47708">
        <w:rPr>
          <w:rFonts w:ascii="Bookman Old Style" w:hAnsi="Bookman Old Style"/>
          <w:lang w:val="it-IT"/>
        </w:rPr>
        <w:t>rispettivamente nel 2022 e nel 2023</w:t>
      </w:r>
      <w:r w:rsidR="003C10E5" w:rsidRPr="00A47708">
        <w:rPr>
          <w:rFonts w:ascii="Bookman Old Style" w:hAnsi="Bookman Old Style"/>
          <w:lang w:val="it-IT"/>
        </w:rPr>
        <w:t xml:space="preserve"> d</w:t>
      </w:r>
      <w:r w:rsidR="008D7FDC" w:rsidRPr="00A47708">
        <w:rPr>
          <w:rFonts w:ascii="Bookman Old Style" w:hAnsi="Bookman Old Style"/>
          <w:lang w:val="it-IT"/>
        </w:rPr>
        <w:t xml:space="preserve">i adeguamento delle nuove indennità previste a regime </w:t>
      </w:r>
      <w:r w:rsidR="003C10E5" w:rsidRPr="00A47708">
        <w:rPr>
          <w:rFonts w:ascii="Bookman Old Style" w:hAnsi="Bookman Old Style"/>
          <w:lang w:val="it-IT"/>
        </w:rPr>
        <w:t xml:space="preserve">è </w:t>
      </w:r>
      <w:r w:rsidR="00B11039" w:rsidRPr="00A47708">
        <w:rPr>
          <w:rFonts w:ascii="Bookman Old Style" w:hAnsi="Bookman Old Style"/>
          <w:lang w:val="it-IT"/>
        </w:rPr>
        <w:t xml:space="preserve">sufficiente </w:t>
      </w:r>
      <w:r w:rsidR="00784205" w:rsidRPr="00A47708">
        <w:rPr>
          <w:rFonts w:ascii="Bookman Old Style" w:hAnsi="Bookman Old Style"/>
          <w:lang w:val="it-IT"/>
        </w:rPr>
        <w:t xml:space="preserve">accertare tale spesa nel bilancio di previsione e successivamente impegnarla con </w:t>
      </w:r>
      <w:r w:rsidR="006943F1" w:rsidRPr="00A47708">
        <w:rPr>
          <w:rFonts w:ascii="Bookman Old Style" w:hAnsi="Bookman Old Style"/>
          <w:lang w:val="it-IT"/>
        </w:rPr>
        <w:t xml:space="preserve">una determina dirigenziale. </w:t>
      </w:r>
    </w:p>
    <w:p w:rsidR="006943F1" w:rsidRPr="008161B1" w:rsidRDefault="006943F1" w:rsidP="003673BD">
      <w:pPr>
        <w:pStyle w:val="Paragrafoelenco"/>
        <w:spacing w:line="360" w:lineRule="auto"/>
        <w:ind w:left="709" w:firstLine="0"/>
        <w:jc w:val="both"/>
        <w:rPr>
          <w:rFonts w:ascii="Bookman Old Style" w:hAnsi="Bookman Old Style"/>
        </w:rPr>
      </w:pPr>
    </w:p>
    <w:p w:rsidR="003673BD" w:rsidRPr="00BF26FD" w:rsidRDefault="003673BD" w:rsidP="00CA4AB8">
      <w:pPr>
        <w:pStyle w:val="Paragrafoelenco"/>
        <w:spacing w:line="360" w:lineRule="auto"/>
        <w:ind w:left="720" w:firstLine="0"/>
        <w:jc w:val="both"/>
        <w:rPr>
          <w:rFonts w:ascii="Bookman Old Style" w:hAnsi="Bookman Old Style"/>
          <w:b/>
          <w:bCs/>
          <w:color w:val="00B0F0"/>
        </w:rPr>
      </w:pPr>
    </w:p>
    <w:p w:rsidR="00CA4AB8" w:rsidRPr="00A47708" w:rsidRDefault="003673BD" w:rsidP="00A47708">
      <w:pPr>
        <w:spacing w:line="360" w:lineRule="auto"/>
        <w:jc w:val="both"/>
        <w:rPr>
          <w:rFonts w:ascii="Bookman Old Style" w:hAnsi="Bookman Old Style"/>
          <w:u w:val="single"/>
          <w:lang w:val="it-IT"/>
        </w:rPr>
      </w:pPr>
      <w:r w:rsidRPr="00A47708">
        <w:rPr>
          <w:rFonts w:ascii="Bookman Old Style" w:hAnsi="Bookman Old Style"/>
          <w:b/>
          <w:bCs/>
          <w:u w:val="single"/>
          <w:lang w:val="it-IT"/>
        </w:rPr>
        <w:t xml:space="preserve">2) </w:t>
      </w:r>
      <w:r w:rsidR="00F34138" w:rsidRPr="00A47708">
        <w:rPr>
          <w:rFonts w:ascii="Bookman Old Style" w:hAnsi="Bookman Old Style"/>
          <w:b/>
          <w:bCs/>
          <w:u w:val="single"/>
          <w:lang w:val="it-IT"/>
        </w:rPr>
        <w:t>A</w:t>
      </w:r>
      <w:r w:rsidR="00CA4AB8" w:rsidRPr="00A47708">
        <w:rPr>
          <w:rFonts w:ascii="Bookman Old Style" w:hAnsi="Bookman Old Style"/>
          <w:b/>
          <w:bCs/>
          <w:u w:val="single"/>
          <w:lang w:val="it-IT"/>
        </w:rPr>
        <w:t xml:space="preserve">pplicazione </w:t>
      </w:r>
      <w:r w:rsidR="005837B3" w:rsidRPr="00A47708">
        <w:rPr>
          <w:rFonts w:ascii="Bookman Old Style" w:hAnsi="Bookman Old Style"/>
          <w:b/>
          <w:bCs/>
          <w:u w:val="single"/>
          <w:lang w:val="it-IT"/>
        </w:rPr>
        <w:t xml:space="preserve">già </w:t>
      </w:r>
      <w:r w:rsidR="00CA4AB8" w:rsidRPr="00A47708">
        <w:rPr>
          <w:rFonts w:ascii="Bookman Old Style" w:hAnsi="Bookman Old Style"/>
          <w:b/>
          <w:bCs/>
          <w:u w:val="single"/>
          <w:lang w:val="it-IT"/>
        </w:rPr>
        <w:t xml:space="preserve">nel 2022 e 2023 dell’indennità </w:t>
      </w:r>
      <w:r w:rsidR="007861C9" w:rsidRPr="00A47708">
        <w:rPr>
          <w:rFonts w:ascii="Bookman Old Style" w:hAnsi="Bookman Old Style"/>
          <w:b/>
          <w:bCs/>
          <w:u w:val="single"/>
          <w:lang w:val="it-IT"/>
        </w:rPr>
        <w:t xml:space="preserve">di funzione </w:t>
      </w:r>
      <w:r w:rsidR="00CA4AB8" w:rsidRPr="00A47708">
        <w:rPr>
          <w:rFonts w:ascii="Bookman Old Style" w:hAnsi="Bookman Old Style"/>
          <w:b/>
          <w:bCs/>
          <w:u w:val="single"/>
          <w:lang w:val="it-IT"/>
        </w:rPr>
        <w:t xml:space="preserve">nella misura </w:t>
      </w:r>
      <w:r w:rsidR="003643A5" w:rsidRPr="00A47708">
        <w:rPr>
          <w:rFonts w:ascii="Bookman Old Style" w:hAnsi="Bookman Old Style"/>
          <w:b/>
          <w:bCs/>
          <w:u w:val="single"/>
          <w:lang w:val="it-IT"/>
        </w:rPr>
        <w:t>integrale</w:t>
      </w:r>
      <w:r w:rsidR="00CA4AB8" w:rsidRPr="00A47708">
        <w:rPr>
          <w:rFonts w:ascii="Bookman Old Style" w:hAnsi="Bookman Old Style"/>
          <w:u w:val="single"/>
          <w:lang w:val="it-IT"/>
        </w:rPr>
        <w:t>.</w:t>
      </w:r>
    </w:p>
    <w:p w:rsidR="00A47708" w:rsidRDefault="00A47708" w:rsidP="00A47708">
      <w:pPr>
        <w:spacing w:line="36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L’adeguamento della misura di incremento delle indennità di funzione – a regime – è possibile e limitata al solo rispetto degli equilibri di bilancio. </w:t>
      </w:r>
    </w:p>
    <w:p w:rsidR="00CA4AB8" w:rsidRPr="00A47708" w:rsidRDefault="00A47708" w:rsidP="00A47708">
      <w:pPr>
        <w:spacing w:line="36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Pertanto, n</w:t>
      </w:r>
      <w:r w:rsidR="00CA4AB8" w:rsidRPr="00A47708">
        <w:rPr>
          <w:rFonts w:ascii="Bookman Old Style" w:hAnsi="Bookman Old Style"/>
          <w:lang w:val="it-IT"/>
        </w:rPr>
        <w:t xml:space="preserve">el caso in cui l’ente intenda </w:t>
      </w:r>
      <w:r w:rsidR="003643A5" w:rsidRPr="00A47708">
        <w:rPr>
          <w:rFonts w:ascii="Bookman Old Style" w:hAnsi="Bookman Old Style"/>
          <w:lang w:val="it-IT"/>
        </w:rPr>
        <w:t>applicare la</w:t>
      </w:r>
      <w:r w:rsidR="00CA4AB8" w:rsidRPr="00A47708">
        <w:rPr>
          <w:rFonts w:ascii="Bookman Old Style" w:hAnsi="Bookman Old Style"/>
          <w:lang w:val="it-IT"/>
        </w:rPr>
        <w:t xml:space="preserve"> misura</w:t>
      </w:r>
      <w:r w:rsidR="005A106D" w:rsidRPr="00A47708">
        <w:rPr>
          <w:rFonts w:ascii="Bookman Old Style" w:hAnsi="Bookman Old Style"/>
          <w:lang w:val="it-IT"/>
        </w:rPr>
        <w:t xml:space="preserve"> -</w:t>
      </w:r>
      <w:r w:rsidR="005837B3" w:rsidRPr="00A47708">
        <w:rPr>
          <w:rFonts w:ascii="Bookman Old Style" w:hAnsi="Bookman Old Style"/>
          <w:lang w:val="it-IT"/>
        </w:rPr>
        <w:t xml:space="preserve"> a regime</w:t>
      </w:r>
      <w:r w:rsidR="003643A5" w:rsidRPr="00A47708">
        <w:rPr>
          <w:rFonts w:ascii="Bookman Old Style" w:hAnsi="Bookman Old Style"/>
          <w:lang w:val="it-IT"/>
        </w:rPr>
        <w:t xml:space="preserve"> nel 2024</w:t>
      </w:r>
      <w:r w:rsidR="005A106D" w:rsidRPr="00A47708">
        <w:rPr>
          <w:rFonts w:ascii="Bookman Old Style" w:hAnsi="Bookman Old Style"/>
          <w:lang w:val="it-IT"/>
        </w:rPr>
        <w:t xml:space="preserve"> -</w:t>
      </w:r>
      <w:r w:rsidR="003643A5" w:rsidRPr="00A47708">
        <w:rPr>
          <w:rFonts w:ascii="Bookman Old Style" w:hAnsi="Bookman Old Style"/>
          <w:lang w:val="it-IT"/>
        </w:rPr>
        <w:t xml:space="preserve"> già negli esercizi 2022 e 2023</w:t>
      </w:r>
      <w:r w:rsidR="00D60BF3" w:rsidRPr="00A47708">
        <w:rPr>
          <w:rFonts w:ascii="Bookman Old Style" w:hAnsi="Bookman Old Style"/>
          <w:lang w:val="it-IT"/>
        </w:rPr>
        <w:t>,</w:t>
      </w:r>
      <w:r w:rsidR="005837B3" w:rsidRPr="00A47708">
        <w:rPr>
          <w:rFonts w:ascii="Bookman Old Style" w:hAnsi="Bookman Old Style"/>
          <w:lang w:val="it-IT"/>
        </w:rPr>
        <w:t xml:space="preserve"> adeguando</w:t>
      </w:r>
      <w:r w:rsidR="00D60BF3" w:rsidRPr="00A47708">
        <w:rPr>
          <w:rFonts w:ascii="Bookman Old Style" w:hAnsi="Bookman Old Style"/>
          <w:lang w:val="it-IT"/>
        </w:rPr>
        <w:t xml:space="preserve"> </w:t>
      </w:r>
      <w:r w:rsidR="003673BD" w:rsidRPr="00A47708">
        <w:rPr>
          <w:rFonts w:ascii="Bookman Old Style" w:hAnsi="Bookman Old Style"/>
          <w:lang w:val="it-IT"/>
        </w:rPr>
        <w:t>immediatamente</w:t>
      </w:r>
      <w:r>
        <w:rPr>
          <w:rFonts w:ascii="Bookman Old Style" w:hAnsi="Bookman Old Style"/>
          <w:lang w:val="it-IT"/>
        </w:rPr>
        <w:t xml:space="preserve"> </w:t>
      </w:r>
      <w:r w:rsidR="005837B3" w:rsidRPr="00A47708">
        <w:rPr>
          <w:rFonts w:ascii="Bookman Old Style" w:hAnsi="Bookman Old Style"/>
          <w:lang w:val="it-IT"/>
        </w:rPr>
        <w:t>l</w:t>
      </w:r>
      <w:r w:rsidR="003673BD" w:rsidRPr="00A47708">
        <w:rPr>
          <w:rFonts w:ascii="Bookman Old Style" w:hAnsi="Bookman Old Style"/>
          <w:lang w:val="it-IT"/>
        </w:rPr>
        <w:t xml:space="preserve">e </w:t>
      </w:r>
      <w:r w:rsidR="005837B3" w:rsidRPr="00A47708">
        <w:rPr>
          <w:rFonts w:ascii="Bookman Old Style" w:hAnsi="Bookman Old Style"/>
          <w:lang w:val="it-IT"/>
        </w:rPr>
        <w:t>indennità</w:t>
      </w:r>
      <w:r w:rsidR="003673BD" w:rsidRPr="00A47708">
        <w:rPr>
          <w:rFonts w:ascii="Bookman Old Style" w:hAnsi="Bookman Old Style"/>
          <w:lang w:val="it-IT"/>
        </w:rPr>
        <w:t xml:space="preserve"> di funzione</w:t>
      </w:r>
      <w:r w:rsidR="00AB4E9F" w:rsidRPr="00A47708">
        <w:rPr>
          <w:rFonts w:ascii="Bookman Old Style" w:hAnsi="Bookman Old Style"/>
          <w:lang w:val="it-IT"/>
        </w:rPr>
        <w:t>,</w:t>
      </w:r>
      <w:r w:rsidR="00CA4AB8" w:rsidRPr="00A47708">
        <w:rPr>
          <w:rFonts w:ascii="Bookman Old Style" w:hAnsi="Bookman Old Style"/>
          <w:lang w:val="it-IT"/>
        </w:rPr>
        <w:t xml:space="preserve"> dovrà essere verificato il permanere dell’equilibrio finanziario pluriennale in sede di bilancio di previsione 2022-2024</w:t>
      </w:r>
      <w:r w:rsidR="003643A5" w:rsidRPr="00A47708">
        <w:rPr>
          <w:rFonts w:ascii="Bookman Old Style" w:hAnsi="Bookman Old Style"/>
          <w:lang w:val="it-IT"/>
        </w:rPr>
        <w:t>, come previsto dalla disposizione richiamata</w:t>
      </w:r>
      <w:r w:rsidR="00CA4AB8" w:rsidRPr="00A47708">
        <w:rPr>
          <w:rFonts w:ascii="Bookman Old Style" w:hAnsi="Bookman Old Style"/>
          <w:lang w:val="it-IT"/>
        </w:rPr>
        <w:t>.</w:t>
      </w:r>
    </w:p>
    <w:p w:rsidR="00474B3E" w:rsidRPr="00A47708" w:rsidRDefault="00CA4AB8" w:rsidP="00A47708">
      <w:pPr>
        <w:spacing w:line="360" w:lineRule="auto"/>
        <w:jc w:val="both"/>
        <w:rPr>
          <w:rFonts w:ascii="Bookman Old Style" w:hAnsi="Bookman Old Style"/>
          <w:lang w:val="it-IT"/>
        </w:rPr>
      </w:pPr>
      <w:r w:rsidRPr="00A47708">
        <w:rPr>
          <w:rFonts w:ascii="Bookman Old Style" w:hAnsi="Bookman Old Style"/>
          <w:lang w:val="it-IT"/>
        </w:rPr>
        <w:t>Al riguardo si ravvisa l’opportunità</w:t>
      </w:r>
      <w:r w:rsidR="00EF04C8" w:rsidRPr="00A47708">
        <w:rPr>
          <w:rFonts w:ascii="Bookman Old Style" w:hAnsi="Bookman Old Style"/>
          <w:lang w:val="it-IT"/>
        </w:rPr>
        <w:t>,</w:t>
      </w:r>
      <w:r w:rsidRPr="00A47708">
        <w:rPr>
          <w:rFonts w:ascii="Bookman Old Style" w:hAnsi="Bookman Old Style"/>
          <w:lang w:val="it-IT"/>
        </w:rPr>
        <w:t xml:space="preserve"> se non la necessità</w:t>
      </w:r>
      <w:r w:rsidR="00EF04C8" w:rsidRPr="00A47708">
        <w:rPr>
          <w:rFonts w:ascii="Bookman Old Style" w:hAnsi="Bookman Old Style"/>
          <w:lang w:val="it-IT"/>
        </w:rPr>
        <w:t>,</w:t>
      </w:r>
      <w:r w:rsidRPr="00A47708">
        <w:rPr>
          <w:rFonts w:ascii="Bookman Old Style" w:hAnsi="Bookman Old Style"/>
          <w:lang w:val="it-IT"/>
        </w:rPr>
        <w:t xml:space="preserve"> che sia espresso un indirizzo in tal senso nel DUP</w:t>
      </w:r>
      <w:r w:rsidR="00AB4E9F" w:rsidRPr="00A47708">
        <w:rPr>
          <w:rFonts w:ascii="Bookman Old Style" w:hAnsi="Bookman Old Style"/>
          <w:lang w:val="it-IT"/>
        </w:rPr>
        <w:t xml:space="preserve"> 2022-2024</w:t>
      </w:r>
      <w:r w:rsidR="003673BD" w:rsidRPr="00A47708">
        <w:rPr>
          <w:rFonts w:ascii="Bookman Old Style" w:hAnsi="Bookman Old Style"/>
          <w:lang w:val="it-IT"/>
        </w:rPr>
        <w:t>, da integrare</w:t>
      </w:r>
      <w:r w:rsidRPr="00A47708">
        <w:rPr>
          <w:rFonts w:ascii="Bookman Old Style" w:hAnsi="Bookman Old Style"/>
          <w:lang w:val="it-IT"/>
        </w:rPr>
        <w:t xml:space="preserve"> mediante una delibera </w:t>
      </w:r>
      <w:r w:rsidR="00AB4E9F" w:rsidRPr="00A47708">
        <w:rPr>
          <w:rFonts w:ascii="Bookman Old Style" w:hAnsi="Bookman Old Style"/>
          <w:lang w:val="it-IT"/>
        </w:rPr>
        <w:t xml:space="preserve">consiliare </w:t>
      </w:r>
      <w:r w:rsidRPr="00A47708">
        <w:rPr>
          <w:rFonts w:ascii="Bookman Old Style" w:hAnsi="Bookman Old Style"/>
          <w:lang w:val="it-IT"/>
        </w:rPr>
        <w:t xml:space="preserve">(in quanto </w:t>
      </w:r>
      <w:r w:rsidR="003673BD" w:rsidRPr="00A47708">
        <w:rPr>
          <w:rFonts w:ascii="Bookman Old Style" w:hAnsi="Bookman Old Style"/>
          <w:lang w:val="it-IT"/>
        </w:rPr>
        <w:t xml:space="preserve">documento </w:t>
      </w:r>
      <w:r w:rsidRPr="00A47708">
        <w:rPr>
          <w:rFonts w:ascii="Bookman Old Style" w:hAnsi="Bookman Old Style"/>
          <w:lang w:val="it-IT"/>
        </w:rPr>
        <w:t>già approvato).</w:t>
      </w:r>
      <w:r w:rsidR="005837B3" w:rsidRPr="00A47708">
        <w:rPr>
          <w:rFonts w:ascii="Bookman Old Style" w:hAnsi="Bookman Old Style"/>
          <w:lang w:val="it-IT"/>
        </w:rPr>
        <w:t xml:space="preserve"> Il bilancio di previsione 2022-2024 sarà dunque definito con </w:t>
      </w:r>
      <w:r w:rsidR="005837B3" w:rsidRPr="00A47708">
        <w:rPr>
          <w:rFonts w:ascii="Bookman Old Style" w:hAnsi="Bookman Old Style"/>
          <w:lang w:val="it-IT"/>
        </w:rPr>
        <w:lastRenderedPageBreak/>
        <w:t>previsioni di spesa conseguenti a tale indirizzo, fermo restando il rispetto de</w:t>
      </w:r>
      <w:r w:rsidR="00D60BF3" w:rsidRPr="00A47708">
        <w:rPr>
          <w:rFonts w:ascii="Bookman Old Style" w:hAnsi="Bookman Old Style"/>
          <w:lang w:val="it-IT"/>
        </w:rPr>
        <w:t>ll’</w:t>
      </w:r>
      <w:r w:rsidR="005837B3" w:rsidRPr="00A47708">
        <w:rPr>
          <w:rFonts w:ascii="Bookman Old Style" w:hAnsi="Bookman Old Style"/>
          <w:lang w:val="it-IT"/>
        </w:rPr>
        <w:t>equilibri</w:t>
      </w:r>
      <w:r w:rsidR="00D60BF3" w:rsidRPr="00A47708">
        <w:rPr>
          <w:rFonts w:ascii="Bookman Old Style" w:hAnsi="Bookman Old Style"/>
          <w:lang w:val="it-IT"/>
        </w:rPr>
        <w:t xml:space="preserve">o </w:t>
      </w:r>
      <w:r w:rsidR="00A47708" w:rsidRPr="00A47708">
        <w:rPr>
          <w:rFonts w:ascii="Bookman Old Style" w:hAnsi="Bookman Old Style"/>
          <w:lang w:val="it-IT"/>
        </w:rPr>
        <w:t>di bilancio</w:t>
      </w:r>
      <w:r w:rsidR="00E0394C" w:rsidRPr="00A47708">
        <w:rPr>
          <w:rFonts w:ascii="Bookman Old Style" w:hAnsi="Bookman Old Style"/>
          <w:lang w:val="it-IT"/>
        </w:rPr>
        <w:t xml:space="preserve"> </w:t>
      </w:r>
      <w:r w:rsidR="00D60BF3" w:rsidRPr="00A47708">
        <w:rPr>
          <w:rFonts w:ascii="Bookman Old Style" w:hAnsi="Bookman Old Style"/>
          <w:lang w:val="it-IT"/>
        </w:rPr>
        <w:t>nel triennio</w:t>
      </w:r>
      <w:r w:rsidR="005837B3" w:rsidRPr="00A47708">
        <w:rPr>
          <w:rFonts w:ascii="Bookman Old Style" w:hAnsi="Bookman Old Style"/>
          <w:lang w:val="it-IT"/>
        </w:rPr>
        <w:t>.</w:t>
      </w:r>
    </w:p>
    <w:p w:rsidR="00294F23" w:rsidRPr="0030519D" w:rsidRDefault="00294F23" w:rsidP="00A47708">
      <w:pPr>
        <w:spacing w:line="360" w:lineRule="auto"/>
        <w:jc w:val="both"/>
        <w:rPr>
          <w:rFonts w:ascii="Bookman Old Style" w:hAnsi="Bookman Old Style"/>
          <w:lang w:val="it-IT"/>
        </w:rPr>
      </w:pPr>
      <w:r w:rsidRPr="00A47708">
        <w:rPr>
          <w:rFonts w:ascii="Bookman Old Style" w:hAnsi="Bookman Old Style"/>
          <w:lang w:val="it-IT"/>
        </w:rPr>
        <w:t>Si rammenta</w:t>
      </w:r>
      <w:r w:rsidR="005A106D" w:rsidRPr="00A47708">
        <w:rPr>
          <w:rFonts w:ascii="Bookman Old Style" w:hAnsi="Bookman Old Style"/>
          <w:lang w:val="it-IT"/>
        </w:rPr>
        <w:t>, infatti,</w:t>
      </w:r>
      <w:r w:rsidRPr="00A47708">
        <w:rPr>
          <w:rFonts w:ascii="Bookman Old Style" w:hAnsi="Bookman Old Style"/>
          <w:lang w:val="it-IT"/>
        </w:rPr>
        <w:t xml:space="preserve"> che il Documento</w:t>
      </w:r>
      <w:r w:rsidR="00113205" w:rsidRPr="00A47708">
        <w:rPr>
          <w:rFonts w:ascii="Bookman Old Style" w:hAnsi="Bookman Old Style"/>
          <w:lang w:val="it-IT"/>
        </w:rPr>
        <w:t xml:space="preserve"> Unico di Programmazione, di cui all’articolo 151 del TUEL, contiene le linee strategiche dell’ente e deve essere presentato entro il 31 luglio.</w:t>
      </w:r>
      <w:r w:rsidR="005A106D" w:rsidRPr="00A47708">
        <w:rPr>
          <w:rFonts w:ascii="Bookman Old Style" w:hAnsi="Bookman Old Style"/>
          <w:lang w:val="it-IT"/>
        </w:rPr>
        <w:t xml:space="preserve"> </w:t>
      </w:r>
      <w:r w:rsidR="005A106D" w:rsidRPr="0030519D">
        <w:rPr>
          <w:rFonts w:ascii="Bookman Old Style" w:hAnsi="Bookman Old Style"/>
          <w:lang w:val="it-IT"/>
        </w:rPr>
        <w:t>Andrà quindi adeguato alle modifiche introdotte d</w:t>
      </w:r>
      <w:r w:rsidR="00326409" w:rsidRPr="0030519D">
        <w:rPr>
          <w:rFonts w:ascii="Bookman Old Style" w:hAnsi="Bookman Old Style"/>
          <w:lang w:val="it-IT"/>
        </w:rPr>
        <w:t>a</w:t>
      </w:r>
      <w:r w:rsidR="005A106D" w:rsidRPr="0030519D">
        <w:rPr>
          <w:rFonts w:ascii="Bookman Old Style" w:hAnsi="Bookman Old Style"/>
          <w:lang w:val="it-IT"/>
        </w:rPr>
        <w:t xml:space="preserve">lla disposizione </w:t>
      </w:r>
      <w:r w:rsidR="005A106D" w:rsidRPr="0030519D">
        <w:rPr>
          <w:rFonts w:ascii="Bookman Old Style" w:hAnsi="Bookman Old Style"/>
          <w:i/>
          <w:iCs/>
          <w:lang w:val="it-IT"/>
        </w:rPr>
        <w:t>de qua.</w:t>
      </w:r>
    </w:p>
    <w:p w:rsidR="00CA4AB8" w:rsidRPr="00A47708" w:rsidRDefault="00AB4E9F" w:rsidP="00A47708">
      <w:pPr>
        <w:spacing w:line="360" w:lineRule="auto"/>
        <w:jc w:val="both"/>
        <w:rPr>
          <w:rFonts w:ascii="Bookman Old Style" w:hAnsi="Bookman Old Style"/>
          <w:lang w:val="it-IT"/>
        </w:rPr>
      </w:pPr>
      <w:r w:rsidRPr="00A47708">
        <w:rPr>
          <w:rFonts w:ascii="Bookman Old Style" w:hAnsi="Bookman Old Style"/>
          <w:lang w:val="it-IT"/>
        </w:rPr>
        <w:t>A seguito</w:t>
      </w:r>
      <w:r w:rsidR="00113205" w:rsidRPr="00A47708">
        <w:rPr>
          <w:rFonts w:ascii="Bookman Old Style" w:hAnsi="Bookman Old Style"/>
          <w:lang w:val="it-IT"/>
        </w:rPr>
        <w:t>, dunque,</w:t>
      </w:r>
      <w:r w:rsidR="00CE089F" w:rsidRPr="00A47708">
        <w:rPr>
          <w:rFonts w:ascii="Bookman Old Style" w:hAnsi="Bookman Old Style"/>
          <w:lang w:val="it-IT"/>
        </w:rPr>
        <w:t xml:space="preserve"> </w:t>
      </w:r>
      <w:r w:rsidRPr="00A47708">
        <w:rPr>
          <w:rFonts w:ascii="Bookman Old Style" w:hAnsi="Bookman Old Style"/>
          <w:lang w:val="it-IT"/>
        </w:rPr>
        <w:t>dell’approvazione del bilancio di previsione</w:t>
      </w:r>
      <w:r w:rsidR="00EF04C8" w:rsidRPr="00A47708">
        <w:rPr>
          <w:rFonts w:ascii="Bookman Old Style" w:hAnsi="Bookman Old Style"/>
          <w:lang w:val="it-IT"/>
        </w:rPr>
        <w:t>,</w:t>
      </w:r>
      <w:r w:rsidR="005837B3" w:rsidRPr="00A47708">
        <w:rPr>
          <w:rFonts w:ascii="Bookman Old Style" w:hAnsi="Bookman Old Style"/>
          <w:lang w:val="it-IT"/>
        </w:rPr>
        <w:t xml:space="preserve"> </w:t>
      </w:r>
      <w:r w:rsidRPr="00A47708">
        <w:rPr>
          <w:rFonts w:ascii="Bookman Old Style" w:hAnsi="Bookman Old Style"/>
          <w:lang w:val="it-IT"/>
        </w:rPr>
        <w:t>il dirigente/responsabile competente</w:t>
      </w:r>
      <w:r w:rsidR="00E0394C" w:rsidRPr="00A47708">
        <w:rPr>
          <w:rFonts w:ascii="Bookman Old Style" w:hAnsi="Bookman Old Style"/>
          <w:lang w:val="it-IT"/>
        </w:rPr>
        <w:t>, trattandosi di dare attuazione a</w:t>
      </w:r>
      <w:r w:rsidR="00EE39BF" w:rsidRPr="00A47708">
        <w:rPr>
          <w:rFonts w:ascii="Bookman Old Style" w:hAnsi="Bookman Old Style"/>
          <w:lang w:val="it-IT"/>
        </w:rPr>
        <w:t xml:space="preserve"> quanto così deliberato,</w:t>
      </w:r>
      <w:r w:rsidRPr="00A47708">
        <w:rPr>
          <w:rFonts w:ascii="Bookman Old Style" w:hAnsi="Bookman Old Style"/>
          <w:lang w:val="it-IT"/>
        </w:rPr>
        <w:t xml:space="preserve"> p</w:t>
      </w:r>
      <w:r w:rsidR="005837B3" w:rsidRPr="00A47708">
        <w:rPr>
          <w:rFonts w:ascii="Bookman Old Style" w:hAnsi="Bookman Old Style"/>
          <w:lang w:val="it-IT"/>
        </w:rPr>
        <w:t>rovvederà ad</w:t>
      </w:r>
      <w:r w:rsidRPr="00A47708">
        <w:rPr>
          <w:rFonts w:ascii="Bookman Old Style" w:hAnsi="Bookman Old Style"/>
          <w:lang w:val="it-IT"/>
        </w:rPr>
        <w:t xml:space="preserve"> adottare la determinazione per l’applicazione dell</w:t>
      </w:r>
      <w:r w:rsidR="005837B3" w:rsidRPr="00A47708">
        <w:rPr>
          <w:rFonts w:ascii="Bookman Old Style" w:hAnsi="Bookman Old Style"/>
          <w:lang w:val="it-IT"/>
        </w:rPr>
        <w:t>a</w:t>
      </w:r>
      <w:r w:rsidRPr="00A47708">
        <w:rPr>
          <w:rFonts w:ascii="Bookman Old Style" w:hAnsi="Bookman Old Style"/>
          <w:lang w:val="it-IT"/>
        </w:rPr>
        <w:t xml:space="preserve"> misura integrale</w:t>
      </w:r>
      <w:r w:rsidR="00DB70BF" w:rsidRPr="00A47708">
        <w:rPr>
          <w:rFonts w:ascii="Bookman Old Style" w:hAnsi="Bookman Old Style"/>
          <w:lang w:val="it-IT"/>
        </w:rPr>
        <w:t xml:space="preserve"> (indicata dalla legge) </w:t>
      </w:r>
      <w:r w:rsidR="00DC54EE" w:rsidRPr="00A47708">
        <w:rPr>
          <w:rFonts w:ascii="Bookman Old Style" w:hAnsi="Bookman Old Style"/>
          <w:lang w:val="it-IT"/>
        </w:rPr>
        <w:t>delle nuove indennità di funzione</w:t>
      </w:r>
      <w:r w:rsidR="005837B3" w:rsidRPr="00A47708">
        <w:rPr>
          <w:rFonts w:ascii="Bookman Old Style" w:hAnsi="Bookman Old Style"/>
          <w:lang w:val="it-IT"/>
        </w:rPr>
        <w:t>,</w:t>
      </w:r>
      <w:r w:rsidRPr="00A47708">
        <w:rPr>
          <w:rFonts w:ascii="Bookman Old Style" w:hAnsi="Bookman Old Style"/>
          <w:lang w:val="it-IT"/>
        </w:rPr>
        <w:t xml:space="preserve"> </w:t>
      </w:r>
      <w:r w:rsidR="00DB70BF" w:rsidRPr="00A47708">
        <w:rPr>
          <w:rFonts w:ascii="Bookman Old Style" w:hAnsi="Bookman Old Style"/>
          <w:lang w:val="it-IT"/>
        </w:rPr>
        <w:t>come risultante</w:t>
      </w:r>
      <w:r w:rsidR="00FA1DBA" w:rsidRPr="00A47708">
        <w:rPr>
          <w:rFonts w:ascii="Bookman Old Style" w:hAnsi="Bookman Old Style"/>
          <w:lang w:val="it-IT"/>
        </w:rPr>
        <w:t xml:space="preserve"> nelle tabelle di cui sopra.</w:t>
      </w:r>
    </w:p>
    <w:p w:rsidR="00A47708" w:rsidRPr="00A47708" w:rsidRDefault="00A47708" w:rsidP="00A47708">
      <w:pPr>
        <w:pStyle w:val="Paragrafoelenco"/>
        <w:numPr>
          <w:ilvl w:val="0"/>
          <w:numId w:val="9"/>
        </w:numPr>
        <w:shd w:val="clear" w:color="auto" w:fill="FFFFFF"/>
        <w:spacing w:after="240" w:line="360" w:lineRule="auto"/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A47708">
        <w:rPr>
          <w:rFonts w:ascii="Bookman Old Style" w:hAnsi="Bookman Old Style"/>
          <w:b/>
          <w:color w:val="000000"/>
          <w:shd w:val="clear" w:color="auto" w:fill="FFFFFF"/>
        </w:rPr>
        <w:t xml:space="preserve">Aumento valore massimo mensile percepibile dai Consiglieri Comunali </w:t>
      </w:r>
    </w:p>
    <w:p w:rsidR="00A47708" w:rsidRDefault="00A47708" w:rsidP="00A47708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color w:val="000000"/>
          <w:shd w:val="clear" w:color="auto" w:fill="FFFFFF"/>
          <w:lang w:val="it-IT"/>
        </w:rPr>
      </w:pPr>
      <w:r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Si ricorda, infine, che l’aumento delle indennità dei Sindaci ridetermina anche il compenso massimo mensile percepibile dai </w:t>
      </w:r>
      <w:r w:rsidRPr="00053A05">
        <w:rPr>
          <w:rFonts w:ascii="Bookman Old Style" w:hAnsi="Bookman Old Style"/>
          <w:color w:val="000000"/>
          <w:u w:val="single"/>
          <w:shd w:val="clear" w:color="auto" w:fill="FFFFFF"/>
          <w:lang w:val="it-IT"/>
        </w:rPr>
        <w:t>Consiglieri comunali</w:t>
      </w:r>
      <w:r>
        <w:rPr>
          <w:rFonts w:ascii="Bookman Old Style" w:hAnsi="Bookman Old Style"/>
          <w:color w:val="000000"/>
          <w:shd w:val="clear" w:color="auto" w:fill="FFFFFF"/>
          <w:lang w:val="it-IT"/>
        </w:rPr>
        <w:t>, che è pari ad un quarto dell’indennità del Sindaco in base a quanto disposto dall’articolo 82, comma 2, del TUEL</w:t>
      </w:r>
      <w:r w:rsidR="00C119C5">
        <w:rPr>
          <w:rStyle w:val="Rimandonotaapidipagina"/>
          <w:rFonts w:ascii="Bookman Old Style" w:hAnsi="Bookman Old Style"/>
          <w:color w:val="000000"/>
          <w:shd w:val="clear" w:color="auto" w:fill="FFFFFF"/>
          <w:lang w:val="it-IT"/>
        </w:rPr>
        <w:footnoteReference w:id="1"/>
      </w:r>
      <w:r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. La norma infatti  non incide direttamente sul valore del gettone di presenza dei Consiglieri comunali ma, indirettamente, agisce sul valore dell’ammontare complessivo percepito che è pari, appunto, per la </w:t>
      </w:r>
      <w:proofErr w:type="spellStart"/>
      <w:r>
        <w:rPr>
          <w:rFonts w:ascii="Bookman Old Style" w:hAnsi="Bookman Old Style"/>
          <w:color w:val="000000"/>
          <w:shd w:val="clear" w:color="auto" w:fill="FFFFFF"/>
          <w:lang w:val="it-IT"/>
        </w:rPr>
        <w:t>surrichiamata</w:t>
      </w:r>
      <w:proofErr w:type="spellEnd"/>
      <w:r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norma del TUEL, ad un quarto dell’indennità del Sindaco come ridet</w:t>
      </w:r>
      <w:r w:rsidR="00C119C5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erminata dall’articolo in esame. Ogni altra </w:t>
      </w:r>
      <w:r w:rsidR="002A36B2">
        <w:rPr>
          <w:rFonts w:ascii="Bookman Old Style" w:hAnsi="Bookman Old Style"/>
          <w:color w:val="000000"/>
          <w:shd w:val="clear" w:color="auto" w:fill="FFFFFF"/>
          <w:lang w:val="it-IT"/>
        </w:rPr>
        <w:t>interpretazione</w:t>
      </w:r>
      <w:r w:rsidR="00C119C5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non terrebbe conto del principio della successione delle leggi nel tempo e dunque </w:t>
      </w:r>
      <w:r w:rsidR="00041B1E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deve tenersi conto </w:t>
      </w:r>
      <w:r w:rsidR="00F77BDD">
        <w:rPr>
          <w:rFonts w:ascii="Bookman Old Style" w:hAnsi="Bookman Old Style"/>
          <w:color w:val="000000"/>
          <w:shd w:val="clear" w:color="auto" w:fill="FFFFFF"/>
          <w:lang w:val="it-IT"/>
        </w:rPr>
        <w:t>– per il tetto massimo mensile dei Consiglieri Comunali</w:t>
      </w:r>
      <w:r w:rsidR="00823E59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 - </w:t>
      </w:r>
      <w:r w:rsidR="00041B1E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delle </w:t>
      </w:r>
      <w:r w:rsidR="00C119C5">
        <w:rPr>
          <w:rFonts w:ascii="Bookman Old Style" w:hAnsi="Bookman Old Style"/>
          <w:color w:val="000000"/>
          <w:shd w:val="clear" w:color="auto" w:fill="FFFFFF"/>
          <w:lang w:val="it-IT"/>
        </w:rPr>
        <w:t xml:space="preserve">indennità di funzione rideterminate dalle disposizioni di legge in commento nella presente nota. </w:t>
      </w:r>
    </w:p>
    <w:p w:rsidR="00C119C5" w:rsidRDefault="00C119C5" w:rsidP="00A47708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color w:val="000000"/>
          <w:shd w:val="clear" w:color="auto" w:fill="FFFFFF"/>
          <w:lang w:val="it-IT"/>
        </w:rPr>
      </w:pPr>
    </w:p>
    <w:p w:rsidR="00C119C5" w:rsidRDefault="00C119C5" w:rsidP="00A47708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color w:val="000000"/>
          <w:shd w:val="clear" w:color="auto" w:fill="FFFFFF"/>
          <w:lang w:val="it-IT"/>
        </w:rPr>
      </w:pPr>
    </w:p>
    <w:p w:rsidR="00861C76" w:rsidRDefault="00861C76" w:rsidP="00A47708">
      <w:pPr>
        <w:shd w:val="clear" w:color="auto" w:fill="FFFFFF"/>
        <w:spacing w:after="240" w:line="360" w:lineRule="auto"/>
        <w:jc w:val="both"/>
        <w:rPr>
          <w:rFonts w:ascii="Bookman Old Style" w:hAnsi="Bookman Old Style"/>
          <w:color w:val="000000"/>
          <w:shd w:val="clear" w:color="auto" w:fill="FFFFFF"/>
          <w:lang w:val="it-IT"/>
        </w:rPr>
      </w:pPr>
    </w:p>
    <w:p w:rsidR="00A47708" w:rsidRDefault="00A47708" w:rsidP="00A47708">
      <w:pPr>
        <w:spacing w:line="360" w:lineRule="auto"/>
        <w:jc w:val="both"/>
        <w:rPr>
          <w:rFonts w:ascii="Bookman Old Style" w:hAnsi="Bookman Old Style"/>
          <w:b/>
          <w:bCs/>
          <w:i/>
          <w:iCs/>
          <w:lang w:val="it-IT"/>
        </w:rPr>
      </w:pPr>
      <w:r>
        <w:rPr>
          <w:rFonts w:ascii="Bookman Old Style" w:hAnsi="Bookman Old Style"/>
          <w:b/>
          <w:bCs/>
          <w:i/>
          <w:iCs/>
          <w:lang w:val="it-IT"/>
        </w:rPr>
        <w:t>Appendice normativa</w:t>
      </w:r>
    </w:p>
    <w:p w:rsidR="00FB6F39" w:rsidRDefault="00FB6F39" w:rsidP="00A47708">
      <w:pPr>
        <w:spacing w:line="360" w:lineRule="auto"/>
        <w:jc w:val="both"/>
        <w:rPr>
          <w:rFonts w:ascii="Bookman Old Style" w:hAnsi="Bookman Old Style"/>
          <w:lang w:val="it-IT"/>
        </w:rPr>
      </w:pPr>
      <w:r w:rsidRPr="00E624D9">
        <w:rPr>
          <w:rFonts w:ascii="Bookman Old Style" w:hAnsi="Bookman Old Style"/>
          <w:highlight w:val="yellow"/>
          <w:lang w:val="it-IT"/>
        </w:rPr>
        <w:t>Legge ………… dicembre 2021, n….</w:t>
      </w:r>
      <w:r>
        <w:rPr>
          <w:rFonts w:ascii="Bookman Old Style" w:hAnsi="Bookman Old Style"/>
          <w:lang w:val="it-IT"/>
        </w:rPr>
        <w:t xml:space="preserve"> </w:t>
      </w:r>
    </w:p>
    <w:p w:rsidR="00FB6F39" w:rsidRDefault="00FB6F39" w:rsidP="00FB6F39">
      <w:pPr>
        <w:spacing w:after="0" w:line="240" w:lineRule="auto"/>
        <w:jc w:val="both"/>
        <w:rPr>
          <w:rFonts w:ascii="Bookman Old Style" w:hAnsi="Bookman Old Style"/>
          <w:lang w:val="it-IT"/>
        </w:rPr>
      </w:pPr>
      <w:r w:rsidRPr="00FB6F39">
        <w:rPr>
          <w:rFonts w:ascii="Bookman Old Style" w:hAnsi="Bookman Old Style"/>
          <w:lang w:val="it-IT"/>
        </w:rPr>
        <w:lastRenderedPageBreak/>
        <w:t>Bilancio di previsione dello Stato per l’anno finanziario 2022</w:t>
      </w:r>
      <w:r>
        <w:rPr>
          <w:rFonts w:ascii="Bookman Old Style" w:hAnsi="Bookman Old Style"/>
          <w:lang w:val="it-IT"/>
        </w:rPr>
        <w:t xml:space="preserve"> </w:t>
      </w:r>
      <w:r w:rsidRPr="00FB6F39">
        <w:rPr>
          <w:rFonts w:ascii="Bookman Old Style" w:hAnsi="Bookman Old Style"/>
          <w:lang w:val="it-IT"/>
        </w:rPr>
        <w:t>e bilancio pluriennale per il triennio 2022-2024</w:t>
      </w:r>
    </w:p>
    <w:p w:rsidR="00FB6F39" w:rsidRDefault="00FB6F39" w:rsidP="00FB6F39">
      <w:pPr>
        <w:spacing w:after="0" w:line="240" w:lineRule="auto"/>
        <w:rPr>
          <w:rFonts w:ascii="Bookman Old Style" w:hAnsi="Bookman Old Style"/>
          <w:lang w:val="it-IT"/>
        </w:rPr>
      </w:pPr>
    </w:p>
    <w:p w:rsidR="009F36A3" w:rsidRPr="009F36A3" w:rsidRDefault="009F36A3" w:rsidP="00FB6F39">
      <w:pPr>
        <w:spacing w:after="0" w:line="240" w:lineRule="auto"/>
        <w:jc w:val="center"/>
        <w:rPr>
          <w:rFonts w:ascii="Bookman Old Style" w:hAnsi="Bookman Old Style"/>
          <w:lang w:val="it-IT"/>
        </w:rPr>
      </w:pPr>
      <w:r w:rsidRPr="009F36A3">
        <w:rPr>
          <w:rFonts w:ascii="Bookman Old Style" w:hAnsi="Bookman Old Style"/>
          <w:lang w:val="it-IT"/>
        </w:rPr>
        <w:t>Art. 1</w:t>
      </w:r>
    </w:p>
    <w:p w:rsidR="009F36A3" w:rsidRDefault="009F36A3" w:rsidP="00FB6F39">
      <w:pPr>
        <w:spacing w:after="0" w:line="240" w:lineRule="auto"/>
        <w:jc w:val="center"/>
        <w:rPr>
          <w:rFonts w:ascii="Bookman Old Style" w:hAnsi="Bookman Old Style"/>
          <w:lang w:val="it-IT"/>
        </w:rPr>
      </w:pPr>
      <w:r w:rsidRPr="009F36A3">
        <w:rPr>
          <w:rFonts w:ascii="Bookman Old Style" w:hAnsi="Bookman Old Style"/>
          <w:lang w:val="it-IT"/>
        </w:rPr>
        <w:t>(Disposizioni in materia di indennità dei sindaci metropolitani, dei sindaci e degli amministratori locali)</w:t>
      </w:r>
    </w:p>
    <w:p w:rsidR="00FB6F39" w:rsidRPr="00145598" w:rsidRDefault="00145598" w:rsidP="00145598">
      <w:pPr>
        <w:spacing w:after="0" w:line="240" w:lineRule="auto"/>
        <w:rPr>
          <w:rFonts w:ascii="Bookman Old Style" w:hAnsi="Bookman Old Style"/>
          <w:i/>
          <w:lang w:val="it-IT"/>
        </w:rPr>
      </w:pPr>
      <w:r w:rsidRPr="00145598">
        <w:rPr>
          <w:rFonts w:ascii="Bookman Old Style" w:hAnsi="Bookman Old Style"/>
          <w:i/>
          <w:lang w:val="it-IT"/>
        </w:rPr>
        <w:t xml:space="preserve"> </w:t>
      </w:r>
      <w:r>
        <w:rPr>
          <w:rFonts w:ascii="Bookman Old Style" w:hAnsi="Bookman Old Style"/>
          <w:i/>
          <w:lang w:val="it-IT"/>
        </w:rPr>
        <w:t>o</w:t>
      </w:r>
      <w:r w:rsidRPr="00145598">
        <w:rPr>
          <w:rFonts w:ascii="Bookman Old Style" w:hAnsi="Bookman Old Style"/>
          <w:i/>
          <w:lang w:val="it-IT"/>
        </w:rPr>
        <w:t>missis…</w:t>
      </w:r>
    </w:p>
    <w:p w:rsidR="009F36A3" w:rsidRPr="009F36A3" w:rsidRDefault="002149BE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 xml:space="preserve">Comma 583 </w:t>
      </w:r>
      <w:r w:rsidR="009F36A3" w:rsidRPr="009F36A3">
        <w:rPr>
          <w:rFonts w:ascii="Bookman Old Style" w:hAnsi="Bookman Old Style"/>
          <w:lang w:val="it-IT"/>
        </w:rPr>
        <w:t>. A decorrere dall’anno 2024, l’indennità di funzione dei sindaci metropolitani e dei sindaci dei comuni ubicati nelle regioni a statuto ordinario è parametrata al trattamento economico complessivo dei presidenti delle regioni come individuato dalla Conferenza permanente per i rapporti tra lo Stato, le re ioni e le province autonome di Trento e di Bolzano ai sensi dell’articolo 2, comma 1, lettera b), del decreto-legge 10 ottobre 2012, n. 174, convertito, con modificazioni, dalla legge 7 dicembre 2012, n. 213, in relazione alla popolazione risultante dall’ultimo censi</w:t>
      </w:r>
      <w:r w:rsidR="009F36A3" w:rsidRPr="009F36A3">
        <w:rPr>
          <w:rFonts w:ascii="Bookman Old Style" w:hAnsi="Bookman Old Style"/>
          <w:lang w:val="it-IT"/>
        </w:rPr>
        <w:softHyphen/>
        <w:t xml:space="preserve">mento ufficiale, nelle seguenti misure: </w:t>
      </w:r>
    </w:p>
    <w:p w:rsidR="009F36A3" w:rsidRPr="009F36A3" w:rsidRDefault="009F36A3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 w:rsidRPr="009F36A3">
        <w:rPr>
          <w:rFonts w:ascii="Bookman Old Style" w:hAnsi="Bookman Old Style"/>
          <w:lang w:val="it-IT"/>
        </w:rPr>
        <w:t>a) 100 per cento per i sindaci metropo</w:t>
      </w:r>
      <w:r w:rsidRPr="009F36A3">
        <w:rPr>
          <w:rFonts w:ascii="Bookman Old Style" w:hAnsi="Bookman Old Style"/>
          <w:lang w:val="it-IT"/>
        </w:rPr>
        <w:softHyphen/>
        <w:t>litani;</w:t>
      </w:r>
    </w:p>
    <w:p w:rsidR="009F36A3" w:rsidRPr="009F36A3" w:rsidRDefault="009F36A3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 w:rsidRPr="009F36A3">
        <w:rPr>
          <w:rFonts w:ascii="Bookman Old Style" w:hAnsi="Bookman Old Style"/>
          <w:lang w:val="it-IT"/>
        </w:rPr>
        <w:t>b) 80 per cento per i sindaci dei co</w:t>
      </w:r>
      <w:r w:rsidRPr="009F36A3">
        <w:rPr>
          <w:rFonts w:ascii="Bookman Old Style" w:hAnsi="Bookman Old Style"/>
          <w:lang w:val="it-IT"/>
        </w:rPr>
        <w:softHyphen/>
        <w:t xml:space="preserve">muni capoluogo di regione e per i sindaci dei comuni capoluogo di provincia con popolazione superiore a 100.000 abitanti; </w:t>
      </w:r>
    </w:p>
    <w:p w:rsidR="009F36A3" w:rsidRPr="009F36A3" w:rsidRDefault="009F36A3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 w:rsidRPr="009F36A3">
        <w:rPr>
          <w:rFonts w:ascii="Bookman Old Style" w:hAnsi="Bookman Old Style"/>
          <w:lang w:val="it-IT"/>
        </w:rPr>
        <w:t>c) 70 per cento per i sindaci dei co</w:t>
      </w:r>
      <w:r w:rsidRPr="009F36A3">
        <w:rPr>
          <w:rFonts w:ascii="Bookman Old Style" w:hAnsi="Bookman Old Style"/>
          <w:lang w:val="it-IT"/>
        </w:rPr>
        <w:softHyphen/>
        <w:t>muni capoluogo di provincia con popola</w:t>
      </w:r>
      <w:r w:rsidRPr="009F36A3">
        <w:rPr>
          <w:rFonts w:ascii="Bookman Old Style" w:hAnsi="Bookman Old Style"/>
          <w:lang w:val="it-IT"/>
        </w:rPr>
        <w:softHyphen/>
        <w:t xml:space="preserve">zione fino a 100.000 abitanti; </w:t>
      </w:r>
    </w:p>
    <w:p w:rsidR="009F36A3" w:rsidRPr="009F36A3" w:rsidRDefault="009F36A3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 w:rsidRPr="009F36A3">
        <w:rPr>
          <w:rFonts w:ascii="Bookman Old Style" w:hAnsi="Bookman Old Style"/>
          <w:lang w:val="it-IT"/>
        </w:rPr>
        <w:t>d) 45 per cento per i sindaci dei co</w:t>
      </w:r>
      <w:r w:rsidRPr="009F36A3">
        <w:rPr>
          <w:rFonts w:ascii="Bookman Old Style" w:hAnsi="Bookman Old Style"/>
          <w:lang w:val="it-IT"/>
        </w:rPr>
        <w:softHyphen/>
        <w:t xml:space="preserve">muni con popolazione superiore a 50.000 abitanti; </w:t>
      </w:r>
    </w:p>
    <w:p w:rsidR="009F36A3" w:rsidRPr="009F36A3" w:rsidRDefault="009F36A3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 w:rsidRPr="009F36A3">
        <w:rPr>
          <w:rFonts w:ascii="Bookman Old Style" w:hAnsi="Bookman Old Style"/>
          <w:lang w:val="it-IT"/>
        </w:rPr>
        <w:t>e) 35 per cento per i sindaci dei co</w:t>
      </w:r>
      <w:r w:rsidRPr="009F36A3">
        <w:rPr>
          <w:rFonts w:ascii="Bookman Old Style" w:hAnsi="Bookman Old Style"/>
          <w:lang w:val="it-IT"/>
        </w:rPr>
        <w:softHyphen/>
        <w:t xml:space="preserve">muni con popolazione da 30.001 a 50.000 abitanti; </w:t>
      </w:r>
    </w:p>
    <w:p w:rsidR="009F36A3" w:rsidRPr="009F36A3" w:rsidRDefault="009F36A3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 w:rsidRPr="009F36A3">
        <w:rPr>
          <w:rFonts w:ascii="Bookman Old Style" w:hAnsi="Bookman Old Style"/>
          <w:lang w:val="it-IT"/>
        </w:rPr>
        <w:t>f) 30 per cento per i sindaci dei comuni con popolazione da 10.001 a 30.000 abi</w:t>
      </w:r>
      <w:r w:rsidRPr="009F36A3">
        <w:rPr>
          <w:rFonts w:ascii="Bookman Old Style" w:hAnsi="Bookman Old Style"/>
          <w:lang w:val="it-IT"/>
        </w:rPr>
        <w:softHyphen/>
        <w:t xml:space="preserve">tanti; </w:t>
      </w:r>
    </w:p>
    <w:p w:rsidR="009F36A3" w:rsidRPr="009F36A3" w:rsidRDefault="009F36A3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 w:rsidRPr="009F36A3">
        <w:rPr>
          <w:rFonts w:ascii="Bookman Old Style" w:hAnsi="Bookman Old Style"/>
          <w:lang w:val="it-IT"/>
        </w:rPr>
        <w:t>g) 29 per cento per i sindaci dei co</w:t>
      </w:r>
      <w:r w:rsidRPr="009F36A3">
        <w:rPr>
          <w:rFonts w:ascii="Bookman Old Style" w:hAnsi="Bookman Old Style"/>
          <w:lang w:val="it-IT"/>
        </w:rPr>
        <w:softHyphen/>
        <w:t>muni con popolazione da 5.001 a 10.000 abitanti;</w:t>
      </w:r>
    </w:p>
    <w:p w:rsidR="009F36A3" w:rsidRPr="009F36A3" w:rsidRDefault="009F36A3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 w:rsidRPr="009F36A3">
        <w:rPr>
          <w:rFonts w:ascii="Bookman Old Style" w:hAnsi="Bookman Old Style"/>
          <w:lang w:val="it-IT"/>
        </w:rPr>
        <w:t>h) 22 per cento per i sindaci dei co</w:t>
      </w:r>
      <w:r w:rsidRPr="009F36A3">
        <w:rPr>
          <w:rFonts w:ascii="Bookman Old Style" w:hAnsi="Bookman Old Style"/>
          <w:lang w:val="it-IT"/>
        </w:rPr>
        <w:softHyphen/>
        <w:t>muni con popolazione da 3.001 a 5.000 abi</w:t>
      </w:r>
      <w:r w:rsidRPr="009F36A3">
        <w:rPr>
          <w:rFonts w:ascii="Bookman Old Style" w:hAnsi="Bookman Old Style"/>
          <w:lang w:val="it-IT"/>
        </w:rPr>
        <w:softHyphen/>
        <w:t xml:space="preserve">tanti; </w:t>
      </w:r>
    </w:p>
    <w:p w:rsidR="009F36A3" w:rsidRPr="009F36A3" w:rsidRDefault="009F36A3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 w:rsidRPr="009F36A3">
        <w:rPr>
          <w:rFonts w:ascii="Bookman Old Style" w:hAnsi="Bookman Old Style"/>
          <w:lang w:val="it-IT"/>
        </w:rPr>
        <w:t xml:space="preserve">i) 16 per cento per i sindaci dei comuni con popolazione fino a 3.000 abitanti. </w:t>
      </w:r>
    </w:p>
    <w:p w:rsidR="009F36A3" w:rsidRPr="009F36A3" w:rsidRDefault="002149BE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Comma 584</w:t>
      </w:r>
      <w:r w:rsidR="009F36A3" w:rsidRPr="009F36A3">
        <w:rPr>
          <w:rFonts w:ascii="Bookman Old Style" w:hAnsi="Bookman Old Style"/>
          <w:lang w:val="it-IT"/>
        </w:rPr>
        <w:t>. In sede di prima applicazione l’inden</w:t>
      </w:r>
      <w:r w:rsidR="009F36A3" w:rsidRPr="009F36A3">
        <w:rPr>
          <w:rFonts w:ascii="Bookman Old Style" w:hAnsi="Bookman Old Style"/>
          <w:lang w:val="it-IT"/>
        </w:rPr>
        <w:softHyphen/>
        <w:t>nità di funzione di cui al comma 1 è adeguata al 45 per cento nell’anno 2022 e al 68 per cento nell’anno 2023 delle misure indi</w:t>
      </w:r>
      <w:r w:rsidR="009F36A3" w:rsidRPr="009F36A3">
        <w:rPr>
          <w:rFonts w:ascii="Bookman Old Style" w:hAnsi="Bookman Old Style"/>
          <w:lang w:val="it-IT"/>
        </w:rPr>
        <w:softHyphen/>
        <w:t>cate al medesimo comma 1. A decorrere dall’anno 2022 la predetta indennità può es</w:t>
      </w:r>
      <w:r w:rsidR="009F36A3" w:rsidRPr="009F36A3">
        <w:rPr>
          <w:rFonts w:ascii="Bookman Old Style" w:hAnsi="Bookman Old Style"/>
          <w:lang w:val="it-IT"/>
        </w:rPr>
        <w:softHyphen/>
        <w:t xml:space="preserve">sere altresì corrisposta nelle integrali misure di cui al comma 1 nel rispetto pluriennale dell’equilibrio di bilancio. </w:t>
      </w:r>
    </w:p>
    <w:p w:rsidR="009F36A3" w:rsidRPr="009F36A3" w:rsidRDefault="002149BE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585</w:t>
      </w:r>
      <w:r w:rsidR="009F36A3" w:rsidRPr="009F36A3">
        <w:rPr>
          <w:rFonts w:ascii="Bookman Old Style" w:hAnsi="Bookman Old Style"/>
          <w:lang w:val="it-IT"/>
        </w:rPr>
        <w:t>. Le indennità di funzione da corrispon</w:t>
      </w:r>
      <w:r w:rsidR="009F36A3" w:rsidRPr="009F36A3">
        <w:rPr>
          <w:rFonts w:ascii="Bookman Old Style" w:hAnsi="Bookman Old Style"/>
          <w:lang w:val="it-IT"/>
        </w:rPr>
        <w:softHyphen/>
        <w:t>dere ai vicesindaci, agli assessori ed ai pre</w:t>
      </w:r>
      <w:r w:rsidR="009F36A3" w:rsidRPr="009F36A3">
        <w:rPr>
          <w:rFonts w:ascii="Bookman Old Style" w:hAnsi="Bookman Old Style"/>
          <w:lang w:val="it-IT"/>
        </w:rPr>
        <w:softHyphen/>
        <w:t>sidenti dei consigli comunali sono adeguate all’indennità di funzione dei corrispondenti sindaci come incrementate per effetto di quanto previsto dai commi 1 e 2, con l’ap</w:t>
      </w:r>
      <w:r w:rsidR="009F36A3" w:rsidRPr="009F36A3">
        <w:rPr>
          <w:rFonts w:ascii="Bookman Old Style" w:hAnsi="Bookman Old Style"/>
          <w:lang w:val="it-IT"/>
        </w:rPr>
        <w:softHyphen/>
        <w:t xml:space="preserve">plicazione delle percentuali previste per le medesime finalità dal regolamento di cui al decreto del Ministro dell’interno 4 aprile 2000, n. 119. </w:t>
      </w:r>
    </w:p>
    <w:p w:rsidR="009F36A3" w:rsidRPr="009F36A3" w:rsidRDefault="002149BE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586</w:t>
      </w:r>
      <w:r w:rsidR="009F36A3" w:rsidRPr="009F36A3">
        <w:rPr>
          <w:rFonts w:ascii="Bookman Old Style" w:hAnsi="Bookman Old Style"/>
          <w:lang w:val="it-IT"/>
        </w:rPr>
        <w:t>. A titolo di concorso alla copertura del maggior onere sostenuto dai comuni per la corresponsione dell’incremento delle inden</w:t>
      </w:r>
      <w:r w:rsidR="009F36A3" w:rsidRPr="009F36A3">
        <w:rPr>
          <w:rFonts w:ascii="Bookman Old Style" w:hAnsi="Bookman Old Style"/>
          <w:lang w:val="it-IT"/>
        </w:rPr>
        <w:softHyphen/>
        <w:t xml:space="preserve">nità di funzione previste dai commi 1, 2 e 3 del presente articolo, il fondo di cui all’articolo 57-quater, comma 2, del decreto-legge 26 ottobre 2019, n. 124, convertito, con modificazioni, dalla legge 19 dicembre 2029, n. 157, è incrementato di 100 milioni di euro per l’anno 2022, di 150 milioni di euro per l’anno 2023 e di 220 milioni di euro a decorrere dall’anno 2024. </w:t>
      </w:r>
    </w:p>
    <w:p w:rsidR="009F36A3" w:rsidRPr="009F36A3" w:rsidRDefault="002149BE" w:rsidP="00FB6F39">
      <w:pPr>
        <w:spacing w:line="240" w:lineRule="auto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>587</w:t>
      </w:r>
      <w:r w:rsidR="009F36A3" w:rsidRPr="009F36A3">
        <w:rPr>
          <w:rFonts w:ascii="Bookman Old Style" w:hAnsi="Bookman Old Style"/>
          <w:lang w:val="it-IT"/>
        </w:rPr>
        <w:t>. Le risorse di cui al comma 4 sono ri</w:t>
      </w:r>
      <w:r w:rsidR="009F36A3" w:rsidRPr="009F36A3">
        <w:rPr>
          <w:rFonts w:ascii="Bookman Old Style" w:hAnsi="Bookman Old Style"/>
          <w:lang w:val="it-IT"/>
        </w:rPr>
        <w:softHyphen/>
        <w:t xml:space="preserve">partite tra i comuni interessati con decreto del Ministro dell’interno, di concerto con il Ministro dell’economia e delle finanze, previa intesa in sede di Conferenza Stato-città ed autonomie locali. Il comune beneficiario è tenuto a </w:t>
      </w:r>
      <w:r w:rsidR="009F36A3" w:rsidRPr="009F36A3">
        <w:rPr>
          <w:rFonts w:ascii="Bookman Old Style" w:hAnsi="Bookman Old Style"/>
          <w:lang w:val="it-IT"/>
        </w:rPr>
        <w:lastRenderedPageBreak/>
        <w:t>riversare ad apposito capitolo di entrata del bilancio dello Stato l’importo del contributo non utilizzato nell’esercizio finan</w:t>
      </w:r>
      <w:r w:rsidR="009F36A3" w:rsidRPr="009F36A3">
        <w:rPr>
          <w:rFonts w:ascii="Bookman Old Style" w:hAnsi="Bookman Old Style"/>
          <w:lang w:val="it-IT"/>
        </w:rPr>
        <w:softHyphen/>
        <w:t>ziario.</w:t>
      </w:r>
    </w:p>
    <w:p w:rsidR="009F36A3" w:rsidRPr="00F647EF" w:rsidRDefault="009F36A3" w:rsidP="009F36A3">
      <w:pPr>
        <w:shd w:val="clear" w:color="auto" w:fill="FFFFFF"/>
        <w:spacing w:after="100" w:afterAutospacing="1" w:line="360" w:lineRule="auto"/>
        <w:jc w:val="both"/>
        <w:rPr>
          <w:rFonts w:ascii="Bookman Old Style" w:hAnsi="Bookman Old Style"/>
          <w:color w:val="000000"/>
          <w:shd w:val="clear" w:color="auto" w:fill="FFFFFF"/>
          <w:lang w:val="it-IT"/>
        </w:rPr>
      </w:pPr>
    </w:p>
    <w:p w:rsidR="00CA459F" w:rsidRPr="00CA459F" w:rsidRDefault="00CA459F" w:rsidP="00C00B3B">
      <w:pPr>
        <w:rPr>
          <w:rFonts w:ascii="Bookman Old Style" w:hAnsi="Bookman Old Style"/>
          <w:b/>
          <w:bCs/>
          <w:lang w:val="it-IT"/>
        </w:rPr>
      </w:pPr>
    </w:p>
    <w:p w:rsidR="00107FC0" w:rsidRDefault="00107FC0" w:rsidP="00107FC0">
      <w:pPr>
        <w:rPr>
          <w:lang w:val="it-IT"/>
        </w:rPr>
      </w:pPr>
    </w:p>
    <w:p w:rsidR="00107FC0" w:rsidRDefault="00107FC0" w:rsidP="00107FC0">
      <w:pPr>
        <w:rPr>
          <w:lang w:val="it-IT"/>
        </w:rPr>
      </w:pPr>
    </w:p>
    <w:p w:rsidR="00107FC0" w:rsidRDefault="00107FC0" w:rsidP="00107FC0">
      <w:pPr>
        <w:rPr>
          <w:lang w:val="it-IT"/>
        </w:rPr>
      </w:pPr>
    </w:p>
    <w:p w:rsidR="00107FC0" w:rsidRPr="00107FC0" w:rsidRDefault="00107FC0" w:rsidP="00107FC0">
      <w:pPr>
        <w:rPr>
          <w:rFonts w:ascii="Bookman Old Style" w:hAnsi="Bookman Old Style"/>
          <w:b/>
          <w:bCs/>
          <w:color w:val="002060"/>
          <w:lang w:val="it-IT"/>
        </w:rPr>
      </w:pPr>
    </w:p>
    <w:sectPr w:rsidR="00107FC0" w:rsidRPr="00107FC0" w:rsidSect="00715B4E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D15" w:rsidRDefault="00E84D15" w:rsidP="00E953C5">
      <w:pPr>
        <w:spacing w:after="0" w:line="240" w:lineRule="auto"/>
      </w:pPr>
      <w:r>
        <w:separator/>
      </w:r>
    </w:p>
  </w:endnote>
  <w:endnote w:type="continuationSeparator" w:id="0">
    <w:p w:rsidR="00E84D15" w:rsidRDefault="00E84D15" w:rsidP="00E9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194106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8"/>
        <w:szCs w:val="18"/>
      </w:rPr>
    </w:sdtEndPr>
    <w:sdtContent>
      <w:p w:rsidR="007872EB" w:rsidRPr="007872EB" w:rsidRDefault="007872EB">
        <w:pPr>
          <w:pStyle w:val="Pidipagina"/>
          <w:jc w:val="right"/>
          <w:rPr>
            <w:rFonts w:ascii="Bookman Old Style" w:hAnsi="Bookman Old Style"/>
            <w:sz w:val="18"/>
            <w:szCs w:val="18"/>
          </w:rPr>
        </w:pPr>
        <w:r w:rsidRPr="007872EB">
          <w:rPr>
            <w:rFonts w:ascii="Bookman Old Style" w:hAnsi="Bookman Old Style"/>
            <w:sz w:val="18"/>
            <w:szCs w:val="18"/>
          </w:rPr>
          <w:fldChar w:fldCharType="begin"/>
        </w:r>
        <w:r w:rsidRPr="007872EB">
          <w:rPr>
            <w:rFonts w:ascii="Bookman Old Style" w:hAnsi="Bookman Old Style"/>
            <w:sz w:val="18"/>
            <w:szCs w:val="18"/>
          </w:rPr>
          <w:instrText>PAGE   \* MERGEFORMAT</w:instrText>
        </w:r>
        <w:r w:rsidRPr="007872EB">
          <w:rPr>
            <w:rFonts w:ascii="Bookman Old Style" w:hAnsi="Bookman Old Style"/>
            <w:sz w:val="18"/>
            <w:szCs w:val="18"/>
          </w:rPr>
          <w:fldChar w:fldCharType="separate"/>
        </w:r>
        <w:r w:rsidR="005E0DC1" w:rsidRPr="005E0DC1">
          <w:rPr>
            <w:rFonts w:ascii="Bookman Old Style" w:hAnsi="Bookman Old Style"/>
            <w:noProof/>
            <w:sz w:val="18"/>
            <w:szCs w:val="18"/>
            <w:lang w:val="it-IT"/>
          </w:rPr>
          <w:t>5</w:t>
        </w:r>
        <w:r w:rsidRPr="007872EB">
          <w:rPr>
            <w:rFonts w:ascii="Bookman Old Style" w:hAnsi="Bookman Old Style"/>
            <w:sz w:val="18"/>
            <w:szCs w:val="18"/>
          </w:rPr>
          <w:fldChar w:fldCharType="end"/>
        </w:r>
      </w:p>
    </w:sdtContent>
  </w:sdt>
  <w:p w:rsidR="007872EB" w:rsidRDefault="007872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D15" w:rsidRDefault="00E84D15" w:rsidP="00E953C5">
      <w:pPr>
        <w:spacing w:after="0" w:line="240" w:lineRule="auto"/>
      </w:pPr>
      <w:r>
        <w:separator/>
      </w:r>
    </w:p>
  </w:footnote>
  <w:footnote w:type="continuationSeparator" w:id="0">
    <w:p w:rsidR="00E84D15" w:rsidRDefault="00E84D15" w:rsidP="00E953C5">
      <w:pPr>
        <w:spacing w:after="0" w:line="240" w:lineRule="auto"/>
      </w:pPr>
      <w:r>
        <w:continuationSeparator/>
      </w:r>
    </w:p>
  </w:footnote>
  <w:footnote w:id="1">
    <w:p w:rsidR="00C119C5" w:rsidRPr="00C119C5" w:rsidRDefault="00C119C5">
      <w:pPr>
        <w:pStyle w:val="Testonotaapidipagina"/>
        <w:rPr>
          <w:rFonts w:ascii="Bookman Old Style" w:hAnsi="Bookman Old Style"/>
          <w:color w:val="000000"/>
          <w:sz w:val="18"/>
          <w:szCs w:val="18"/>
          <w:shd w:val="clear" w:color="auto" w:fill="FFFFFF"/>
          <w:lang w:val="it-IT"/>
        </w:rPr>
      </w:pPr>
      <w:r w:rsidRPr="00C119C5">
        <w:rPr>
          <w:rFonts w:ascii="Bookman Old Style" w:hAnsi="Bookman Old Style"/>
          <w:color w:val="000000"/>
          <w:sz w:val="18"/>
          <w:szCs w:val="18"/>
          <w:shd w:val="clear" w:color="auto" w:fill="FFFFFF"/>
          <w:lang w:val="it-IT"/>
        </w:rPr>
        <w:footnoteRef/>
      </w:r>
      <w:r w:rsidRPr="00C119C5">
        <w:rPr>
          <w:rFonts w:ascii="Bookman Old Style" w:hAnsi="Bookman Old Style"/>
          <w:color w:val="000000"/>
          <w:sz w:val="18"/>
          <w:szCs w:val="18"/>
          <w:shd w:val="clear" w:color="auto" w:fill="FFFFFF"/>
          <w:lang w:val="it-IT"/>
        </w:rPr>
        <w:t xml:space="preserve">  </w:t>
      </w:r>
      <w:r>
        <w:rPr>
          <w:rFonts w:ascii="Bookman Old Style" w:hAnsi="Bookman Old Style"/>
          <w:color w:val="000000"/>
          <w:sz w:val="18"/>
          <w:szCs w:val="18"/>
          <w:shd w:val="clear" w:color="auto" w:fill="FFFFFF"/>
          <w:lang w:val="it-IT"/>
        </w:rPr>
        <w:t>“</w:t>
      </w:r>
      <w:r w:rsidRPr="00C119C5">
        <w:rPr>
          <w:rFonts w:ascii="Bookman Old Style" w:hAnsi="Bookman Old Style"/>
          <w:color w:val="000000"/>
          <w:sz w:val="18"/>
          <w:szCs w:val="18"/>
          <w:shd w:val="clear" w:color="auto" w:fill="FFFFFF"/>
          <w:lang w:val="it-IT"/>
        </w:rPr>
        <w:t>I consiglieri comunali e provinciali hanno diritto di percepire, nei limiti fissati dal presente capo, un gettone di presenza per la partecipazione a consigli e commissioni. In nessun caso l’ammontare percepito nell’ambito di un mese da un consigliere può superare l’importo pari ad un quarto dell’indennità massima prevista per il rispettivo sindaco o presidente in base al decreto di cui al comma 8. Nessuna indennità è dovuta ai consiglieri circoscrizionali ad eccezione dei consiglieri circoscrizionali delle città metropolitane per i quali l’ammontare del gettone di presenza non può superare l’importo pari ad un quarto dell’indennità prevista per il rispettivo presidente. In nessun caso gli oneri a carico dei predetti enti per i permessi retribuiti dei lavoratori dipendenti da privati o da enti pubblici economici possono mensilmente superare, per ciascun consigliere circoscrizionale, l'importo pari ad un quarto dell'indennità prevista per il rispettivo presidente</w:t>
      </w:r>
      <w:r>
        <w:rPr>
          <w:rFonts w:ascii="Bookman Old Style" w:hAnsi="Bookman Old Style"/>
          <w:color w:val="000000"/>
          <w:sz w:val="18"/>
          <w:szCs w:val="18"/>
          <w:shd w:val="clear" w:color="auto" w:fill="FFFFFF"/>
          <w:lang w:val="it-IT"/>
        </w:rPr>
        <w:t xml:space="preserve">” ( articolo 82 comma 2 tuel) </w:t>
      </w:r>
      <w:r w:rsidRPr="00C119C5">
        <w:rPr>
          <w:rFonts w:ascii="Bookman Old Style" w:hAnsi="Bookman Old Style"/>
          <w:color w:val="000000"/>
          <w:sz w:val="18"/>
          <w:szCs w:val="18"/>
          <w:shd w:val="clear" w:color="auto" w:fill="FFFFFF"/>
          <w:lang w:val="it-I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4F1"/>
    <w:multiLevelType w:val="hybridMultilevel"/>
    <w:tmpl w:val="F85ECEFA"/>
    <w:lvl w:ilvl="0" w:tplc="D2882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5A20"/>
    <w:multiLevelType w:val="hybridMultilevel"/>
    <w:tmpl w:val="25B6FDB4"/>
    <w:lvl w:ilvl="0" w:tplc="0410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B353C"/>
    <w:multiLevelType w:val="hybridMultilevel"/>
    <w:tmpl w:val="5C70A5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A47F7"/>
    <w:multiLevelType w:val="multilevel"/>
    <w:tmpl w:val="271E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A7B9E"/>
    <w:multiLevelType w:val="multilevel"/>
    <w:tmpl w:val="686C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476CB"/>
    <w:multiLevelType w:val="hybridMultilevel"/>
    <w:tmpl w:val="1E808D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13E96"/>
    <w:multiLevelType w:val="hybridMultilevel"/>
    <w:tmpl w:val="A5A4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96ED9"/>
    <w:multiLevelType w:val="hybridMultilevel"/>
    <w:tmpl w:val="A170EB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748C0"/>
    <w:multiLevelType w:val="multilevel"/>
    <w:tmpl w:val="7796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B3B"/>
    <w:rsid w:val="00004042"/>
    <w:rsid w:val="00006A4B"/>
    <w:rsid w:val="00017D02"/>
    <w:rsid w:val="00023198"/>
    <w:rsid w:val="00040F41"/>
    <w:rsid w:val="00041B1E"/>
    <w:rsid w:val="00046684"/>
    <w:rsid w:val="0005092F"/>
    <w:rsid w:val="00053A05"/>
    <w:rsid w:val="00060F3F"/>
    <w:rsid w:val="000B7BCD"/>
    <w:rsid w:val="000C7CAC"/>
    <w:rsid w:val="000D40AE"/>
    <w:rsid w:val="000F55C9"/>
    <w:rsid w:val="00105D21"/>
    <w:rsid w:val="00107FC0"/>
    <w:rsid w:val="0011223B"/>
    <w:rsid w:val="00113205"/>
    <w:rsid w:val="00114811"/>
    <w:rsid w:val="0013589C"/>
    <w:rsid w:val="00137D11"/>
    <w:rsid w:val="00145598"/>
    <w:rsid w:val="00152534"/>
    <w:rsid w:val="00181918"/>
    <w:rsid w:val="00193AEE"/>
    <w:rsid w:val="001A1D0F"/>
    <w:rsid w:val="001B0C35"/>
    <w:rsid w:val="001D3A30"/>
    <w:rsid w:val="001E356E"/>
    <w:rsid w:val="002149BE"/>
    <w:rsid w:val="00237324"/>
    <w:rsid w:val="00285FE9"/>
    <w:rsid w:val="002877DA"/>
    <w:rsid w:val="00294F23"/>
    <w:rsid w:val="002972FD"/>
    <w:rsid w:val="002A36B2"/>
    <w:rsid w:val="002C4FA2"/>
    <w:rsid w:val="002D514B"/>
    <w:rsid w:val="002F0636"/>
    <w:rsid w:val="0030519D"/>
    <w:rsid w:val="00315484"/>
    <w:rsid w:val="00326409"/>
    <w:rsid w:val="003536A8"/>
    <w:rsid w:val="00363CC4"/>
    <w:rsid w:val="003643A5"/>
    <w:rsid w:val="003673BD"/>
    <w:rsid w:val="003810EA"/>
    <w:rsid w:val="003C10E5"/>
    <w:rsid w:val="003D52A3"/>
    <w:rsid w:val="003E6F5E"/>
    <w:rsid w:val="00403780"/>
    <w:rsid w:val="0041523D"/>
    <w:rsid w:val="00417C9C"/>
    <w:rsid w:val="00436AFA"/>
    <w:rsid w:val="00445FD9"/>
    <w:rsid w:val="00454130"/>
    <w:rsid w:val="00466475"/>
    <w:rsid w:val="00474B3E"/>
    <w:rsid w:val="004804A1"/>
    <w:rsid w:val="00494E44"/>
    <w:rsid w:val="004A4723"/>
    <w:rsid w:val="004D5616"/>
    <w:rsid w:val="00524651"/>
    <w:rsid w:val="0056776B"/>
    <w:rsid w:val="005837B3"/>
    <w:rsid w:val="005A106D"/>
    <w:rsid w:val="005A139D"/>
    <w:rsid w:val="005E0DC1"/>
    <w:rsid w:val="00644E59"/>
    <w:rsid w:val="006930CF"/>
    <w:rsid w:val="006943F1"/>
    <w:rsid w:val="006C414F"/>
    <w:rsid w:val="006F67B7"/>
    <w:rsid w:val="007006E3"/>
    <w:rsid w:val="007076C4"/>
    <w:rsid w:val="00713FCF"/>
    <w:rsid w:val="00715B4E"/>
    <w:rsid w:val="007232DD"/>
    <w:rsid w:val="00734CC8"/>
    <w:rsid w:val="00784205"/>
    <w:rsid w:val="007861C9"/>
    <w:rsid w:val="007872EB"/>
    <w:rsid w:val="007911F3"/>
    <w:rsid w:val="007A28CE"/>
    <w:rsid w:val="007A42F6"/>
    <w:rsid w:val="007B5B2D"/>
    <w:rsid w:val="007B71AD"/>
    <w:rsid w:val="007D2608"/>
    <w:rsid w:val="007F195A"/>
    <w:rsid w:val="00811450"/>
    <w:rsid w:val="008161B1"/>
    <w:rsid w:val="00823E59"/>
    <w:rsid w:val="008269E1"/>
    <w:rsid w:val="00861C76"/>
    <w:rsid w:val="008641DC"/>
    <w:rsid w:val="008920E2"/>
    <w:rsid w:val="008B3909"/>
    <w:rsid w:val="008D7FDC"/>
    <w:rsid w:val="008E2902"/>
    <w:rsid w:val="008E3910"/>
    <w:rsid w:val="00912C65"/>
    <w:rsid w:val="00913F30"/>
    <w:rsid w:val="009221B8"/>
    <w:rsid w:val="00927F15"/>
    <w:rsid w:val="00956640"/>
    <w:rsid w:val="00972081"/>
    <w:rsid w:val="009D5DEA"/>
    <w:rsid w:val="009F36A3"/>
    <w:rsid w:val="00A107DB"/>
    <w:rsid w:val="00A11CF2"/>
    <w:rsid w:val="00A42DBA"/>
    <w:rsid w:val="00A45367"/>
    <w:rsid w:val="00A47708"/>
    <w:rsid w:val="00A53AE1"/>
    <w:rsid w:val="00A53BC0"/>
    <w:rsid w:val="00A63938"/>
    <w:rsid w:val="00AA3ED2"/>
    <w:rsid w:val="00AB4E9F"/>
    <w:rsid w:val="00AB6ED9"/>
    <w:rsid w:val="00AC7E1D"/>
    <w:rsid w:val="00B11039"/>
    <w:rsid w:val="00B51D4B"/>
    <w:rsid w:val="00B95904"/>
    <w:rsid w:val="00BB7AC2"/>
    <w:rsid w:val="00BC49D3"/>
    <w:rsid w:val="00BC6CD2"/>
    <w:rsid w:val="00BF26FD"/>
    <w:rsid w:val="00C00B3B"/>
    <w:rsid w:val="00C036EB"/>
    <w:rsid w:val="00C119C5"/>
    <w:rsid w:val="00C23D3D"/>
    <w:rsid w:val="00C51FA3"/>
    <w:rsid w:val="00CA459F"/>
    <w:rsid w:val="00CA4AB8"/>
    <w:rsid w:val="00CE089F"/>
    <w:rsid w:val="00D03980"/>
    <w:rsid w:val="00D3536E"/>
    <w:rsid w:val="00D60BF3"/>
    <w:rsid w:val="00D67F1F"/>
    <w:rsid w:val="00D957B8"/>
    <w:rsid w:val="00DB70BF"/>
    <w:rsid w:val="00DC4759"/>
    <w:rsid w:val="00DC54EE"/>
    <w:rsid w:val="00DD02F0"/>
    <w:rsid w:val="00DD516D"/>
    <w:rsid w:val="00DE3326"/>
    <w:rsid w:val="00DF1FDE"/>
    <w:rsid w:val="00DF29F8"/>
    <w:rsid w:val="00DF556A"/>
    <w:rsid w:val="00E0394C"/>
    <w:rsid w:val="00E33171"/>
    <w:rsid w:val="00E4345E"/>
    <w:rsid w:val="00E624D9"/>
    <w:rsid w:val="00E84D15"/>
    <w:rsid w:val="00E953C5"/>
    <w:rsid w:val="00EB17CA"/>
    <w:rsid w:val="00EB58CC"/>
    <w:rsid w:val="00EC6678"/>
    <w:rsid w:val="00EE39BF"/>
    <w:rsid w:val="00EE5BFD"/>
    <w:rsid w:val="00EF04C8"/>
    <w:rsid w:val="00F21583"/>
    <w:rsid w:val="00F34138"/>
    <w:rsid w:val="00F647EF"/>
    <w:rsid w:val="00F65F16"/>
    <w:rsid w:val="00F77BDD"/>
    <w:rsid w:val="00F8363C"/>
    <w:rsid w:val="00F93CD7"/>
    <w:rsid w:val="00FA1DBA"/>
    <w:rsid w:val="00FA77ED"/>
    <w:rsid w:val="00FB5522"/>
    <w:rsid w:val="00FB6F39"/>
    <w:rsid w:val="00FE1AF4"/>
    <w:rsid w:val="00FE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3B39C-1908-1E4D-AE8F-0063DFEA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E1A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00B3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0B3B"/>
    <w:rPr>
      <w:rFonts w:ascii="Times New Roman" w:eastAsia="Times New Roman" w:hAnsi="Times New Roman" w:cs="Times New Roman"/>
      <w:sz w:val="23"/>
      <w:szCs w:val="23"/>
      <w:lang w:val="it-IT"/>
    </w:rPr>
  </w:style>
  <w:style w:type="paragraph" w:styleId="Paragrafoelenco">
    <w:name w:val="List Paragraph"/>
    <w:basedOn w:val="Normale"/>
    <w:uiPriority w:val="1"/>
    <w:qFormat/>
    <w:rsid w:val="00C00B3B"/>
    <w:pPr>
      <w:widowControl w:val="0"/>
      <w:autoSpaceDE w:val="0"/>
      <w:autoSpaceDN w:val="0"/>
      <w:spacing w:after="0" w:line="256" w:lineRule="exact"/>
      <w:ind w:left="877" w:hanging="418"/>
    </w:pPr>
    <w:rPr>
      <w:rFonts w:ascii="Times New Roman" w:eastAsia="Times New Roman" w:hAnsi="Times New Roman" w:cs="Times New Roman"/>
      <w:lang w:val="it-IT"/>
    </w:rPr>
  </w:style>
  <w:style w:type="paragraph" w:customStyle="1" w:styleId="done">
    <w:name w:val="done"/>
    <w:basedOn w:val="Normale"/>
    <w:rsid w:val="00CA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A459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536A8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53C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53C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53C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1A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e"/>
    <w:uiPriority w:val="1"/>
    <w:qFormat/>
    <w:rsid w:val="00FE1AF4"/>
    <w:pPr>
      <w:widowControl w:val="0"/>
      <w:autoSpaceDE w:val="0"/>
      <w:autoSpaceDN w:val="0"/>
      <w:spacing w:before="4" w:after="0" w:line="125" w:lineRule="exact"/>
    </w:pPr>
    <w:rPr>
      <w:rFonts w:ascii="Calibri" w:eastAsia="Calibri" w:hAnsi="Calibri" w:cs="Calibri"/>
      <w:lang w:val="it-IT"/>
    </w:rPr>
  </w:style>
  <w:style w:type="table" w:customStyle="1" w:styleId="TableNormal">
    <w:name w:val="Table Normal"/>
    <w:uiPriority w:val="2"/>
    <w:semiHidden/>
    <w:unhideWhenUsed/>
    <w:qFormat/>
    <w:rsid w:val="006F67B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87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2EB"/>
  </w:style>
  <w:style w:type="paragraph" w:styleId="Pidipagina">
    <w:name w:val="footer"/>
    <w:basedOn w:val="Normale"/>
    <w:link w:val="PidipaginaCarattere"/>
    <w:uiPriority w:val="99"/>
    <w:unhideWhenUsed/>
    <w:rsid w:val="00787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2EB"/>
  </w:style>
  <w:style w:type="paragraph" w:styleId="NormaleWeb">
    <w:name w:val="Normal (Web)"/>
    <w:basedOn w:val="Normale"/>
    <w:uiPriority w:val="99"/>
    <w:semiHidden/>
    <w:unhideWhenUsed/>
    <w:rsid w:val="0028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715B4E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38FF-E8F8-4369-8B51-42A55DF34D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Dota</dc:creator>
  <cp:lastModifiedBy>Stefania Dota</cp:lastModifiedBy>
  <cp:revision>2</cp:revision>
  <cp:lastPrinted>2022-01-05T10:45:00Z</cp:lastPrinted>
  <dcterms:created xsi:type="dcterms:W3CDTF">2022-01-06T09:26:00Z</dcterms:created>
  <dcterms:modified xsi:type="dcterms:W3CDTF">2022-01-06T09:26:00Z</dcterms:modified>
</cp:coreProperties>
</file>