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B68D" w14:textId="77777777" w:rsidR="00441E04" w:rsidRDefault="00441E04" w:rsidP="00441E04">
      <w:pPr>
        <w:pStyle w:val="Default"/>
        <w:jc w:val="both"/>
        <w:rPr>
          <w:rFonts w:ascii="Bookman Old Style" w:hAnsi="Bookman Old Style"/>
          <w:b/>
          <w:bCs/>
          <w:color w:val="4472C4" w:themeColor="accent1"/>
          <w:sz w:val="22"/>
          <w:szCs w:val="22"/>
        </w:rPr>
      </w:pPr>
    </w:p>
    <w:p w14:paraId="77633216" w14:textId="77777777" w:rsidR="00441E04" w:rsidRPr="00B9258D" w:rsidRDefault="00441E04" w:rsidP="00441E04">
      <w:pPr>
        <w:spacing w:after="0" w:line="240" w:lineRule="auto"/>
        <w:jc w:val="center"/>
        <w:rPr>
          <w:rFonts w:ascii="Bookman Old Style" w:hAnsi="Bookman Old Style"/>
          <w:b/>
        </w:rPr>
      </w:pPr>
      <w:r w:rsidRPr="00B9258D">
        <w:rPr>
          <w:rFonts w:ascii="Bookman Old Style" w:hAnsi="Bookman Old Style"/>
          <w:noProof/>
          <w:lang w:eastAsia="it-IT"/>
        </w:rPr>
        <w:drawing>
          <wp:inline distT="0" distB="0" distL="0" distR="0" wp14:anchorId="46CB6BEF" wp14:editId="04F87D87">
            <wp:extent cx="619125" cy="923925"/>
            <wp:effectExtent l="0" t="0" r="9525" b="9525"/>
            <wp:docPr id="1" name="Immagine 1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 descr="Immagine che contiene disegnand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5614A" w14:textId="77777777" w:rsidR="00441E04" w:rsidRPr="00B9258D" w:rsidRDefault="00441E04" w:rsidP="00441E04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1EF231EC" w14:textId="77777777" w:rsidR="00441E04" w:rsidRPr="00D5746B" w:rsidRDefault="00441E04" w:rsidP="00441E04">
      <w:pPr>
        <w:spacing w:after="0" w:line="252" w:lineRule="auto"/>
        <w:contextualSpacing/>
        <w:jc w:val="center"/>
        <w:rPr>
          <w:rFonts w:ascii="Bookman Old Style" w:hAnsi="Bookman Old Style"/>
          <w:color w:val="FF0000"/>
        </w:rPr>
      </w:pPr>
    </w:p>
    <w:p w14:paraId="7B13BEB2" w14:textId="77777777" w:rsidR="00441E04" w:rsidRDefault="00441E04" w:rsidP="00441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72A3201" w14:textId="4F75F3B8" w:rsidR="00441E04" w:rsidRDefault="00441E04" w:rsidP="00441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D.L. PROROGHE LEGISLATIVE</w:t>
      </w:r>
    </w:p>
    <w:p w14:paraId="059FEFA7" w14:textId="77777777" w:rsidR="00441E04" w:rsidRPr="0095247F" w:rsidRDefault="00441E04" w:rsidP="00441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NewRomanPS-BoldItalicMT"/>
          <w:b/>
          <w:bCs/>
        </w:rPr>
      </w:pPr>
    </w:p>
    <w:p w14:paraId="38CD3392" w14:textId="77777777" w:rsidR="00441E04" w:rsidRPr="0095247F" w:rsidRDefault="00441E04" w:rsidP="00441E04">
      <w:pPr>
        <w:spacing w:after="0" w:line="252" w:lineRule="auto"/>
        <w:contextualSpacing/>
        <w:jc w:val="center"/>
        <w:rPr>
          <w:rFonts w:ascii="Bookman Old Style" w:hAnsi="Bookman Old Style" w:cs="TimesNewRomanPS-BoldItalicMT"/>
          <w:b/>
          <w:bCs/>
        </w:rPr>
      </w:pPr>
    </w:p>
    <w:p w14:paraId="33402E66" w14:textId="77777777" w:rsidR="00441E04" w:rsidRPr="0095247F" w:rsidRDefault="00441E04" w:rsidP="00441E04">
      <w:pPr>
        <w:spacing w:after="0" w:line="252" w:lineRule="auto"/>
        <w:contextualSpacing/>
        <w:jc w:val="center"/>
        <w:rPr>
          <w:rFonts w:ascii="Bookman Old Style" w:hAnsi="Bookman Old Style" w:cs="TimesNewRomanPS-BoldItalicMT"/>
          <w:b/>
          <w:bCs/>
        </w:rPr>
      </w:pPr>
    </w:p>
    <w:p w14:paraId="4040C809" w14:textId="1F70BB17" w:rsidR="00441E04" w:rsidRPr="00D97C17" w:rsidRDefault="00441E04" w:rsidP="00441E04">
      <w:pPr>
        <w:spacing w:after="0" w:line="252" w:lineRule="auto"/>
        <w:contextualSpacing/>
        <w:jc w:val="center"/>
        <w:rPr>
          <w:rFonts w:ascii="Bookman Old Style" w:hAnsi="Bookman Old Style" w:cs="TimesNewRomanPS-BoldItalicMT"/>
          <w:b/>
          <w:bCs/>
          <w:color w:val="FF0000"/>
        </w:rPr>
      </w:pPr>
      <w:r w:rsidRPr="00D97C17">
        <w:rPr>
          <w:rFonts w:ascii="Bookman Old Style" w:hAnsi="Bookman Old Style" w:cs="TimesNewRomanPS-BoldItalicMT"/>
          <w:b/>
          <w:bCs/>
          <w:color w:val="FF0000"/>
        </w:rPr>
        <w:t>NOTA SINTETICA</w:t>
      </w:r>
      <w:r>
        <w:rPr>
          <w:rFonts w:ascii="Bookman Old Style" w:hAnsi="Bookman Old Style" w:cs="TimesNewRomanPS-BoldItalicMT"/>
          <w:b/>
          <w:bCs/>
          <w:color w:val="FF0000"/>
        </w:rPr>
        <w:t xml:space="preserve"> TESTO APPROVATO DAL GOVERNO</w:t>
      </w:r>
    </w:p>
    <w:p w14:paraId="1046D7F7" w14:textId="77777777" w:rsidR="00441E04" w:rsidRPr="0095247F" w:rsidRDefault="00441E04" w:rsidP="00441E04">
      <w:pPr>
        <w:spacing w:after="0" w:line="252" w:lineRule="auto"/>
        <w:contextualSpacing/>
        <w:jc w:val="center"/>
        <w:rPr>
          <w:rFonts w:ascii="Bookman Old Style" w:hAnsi="Bookman Old Style"/>
          <w:b/>
          <w:bCs/>
        </w:rPr>
      </w:pPr>
    </w:p>
    <w:p w14:paraId="08D7D847" w14:textId="77777777" w:rsidR="00441E04" w:rsidRPr="00B9258D" w:rsidRDefault="00441E04" w:rsidP="00441E04">
      <w:pPr>
        <w:spacing w:after="0" w:line="252" w:lineRule="auto"/>
        <w:contextualSpacing/>
        <w:jc w:val="center"/>
        <w:rPr>
          <w:rFonts w:ascii="Bookman Old Style" w:hAnsi="Bookman Old Style"/>
          <w:b/>
          <w:bCs/>
        </w:rPr>
      </w:pPr>
    </w:p>
    <w:p w14:paraId="3C486010" w14:textId="6C848D77" w:rsidR="00441E04" w:rsidRDefault="00441E04" w:rsidP="00441E04">
      <w:pPr>
        <w:autoSpaceDE w:val="0"/>
        <w:autoSpaceDN w:val="0"/>
        <w:spacing w:after="0" w:line="240" w:lineRule="auto"/>
        <w:jc w:val="both"/>
        <w:rPr>
          <w:rFonts w:ascii="Bookman Old Style" w:hAnsi="Bookman Old Style"/>
        </w:rPr>
      </w:pPr>
      <w:r w:rsidRPr="00E43BA8">
        <w:rPr>
          <w:rFonts w:ascii="Bookman Old Style" w:hAnsi="Bookman Old Style"/>
        </w:rPr>
        <w:t xml:space="preserve">Il decreto-legge </w:t>
      </w:r>
      <w:r>
        <w:rPr>
          <w:rFonts w:ascii="Bookman Old Style" w:hAnsi="Bookman Old Style"/>
        </w:rPr>
        <w:t xml:space="preserve">cd </w:t>
      </w:r>
      <w:proofErr w:type="spellStart"/>
      <w:r w:rsidRPr="00441E04">
        <w:rPr>
          <w:rFonts w:ascii="Bookman Old Style" w:hAnsi="Bookman Old Style"/>
          <w:i/>
          <w:iCs/>
        </w:rPr>
        <w:t>milleproroghe</w:t>
      </w:r>
      <w:proofErr w:type="spellEnd"/>
      <w:r>
        <w:rPr>
          <w:rFonts w:ascii="Bookman Old Style" w:hAnsi="Bookman Old Style"/>
          <w:i/>
          <w:iCs/>
        </w:rPr>
        <w:t xml:space="preserve"> </w:t>
      </w:r>
      <w:r>
        <w:rPr>
          <w:rFonts w:ascii="Bookman Old Style" w:hAnsi="Bookman Old Style"/>
        </w:rPr>
        <w:t>è stato approvato dal Consiglio dei Ministri il 21 dicembre e se ne attende adesso la pubblicazione in Gazzetta Ufficiale.</w:t>
      </w:r>
    </w:p>
    <w:p w14:paraId="1E6D704B" w14:textId="751AB0E6" w:rsidR="00441E04" w:rsidRDefault="00441E04" w:rsidP="00441E04">
      <w:pPr>
        <w:autoSpaceDE w:val="0"/>
        <w:autoSpaceDN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 una prima bozza disponibile del testo si segnalano le seguenti proroghe di interesse</w:t>
      </w:r>
      <w:r w:rsidR="0081635B">
        <w:rPr>
          <w:rFonts w:ascii="Bookman Old Style" w:hAnsi="Bookman Old Style"/>
        </w:rPr>
        <w:t xml:space="preserve"> dei Comuni</w:t>
      </w:r>
      <w:r w:rsidR="00B20EE1">
        <w:rPr>
          <w:rFonts w:ascii="Bookman Old Style" w:hAnsi="Bookman Old Style"/>
        </w:rPr>
        <w:t xml:space="preserve">. </w:t>
      </w:r>
    </w:p>
    <w:p w14:paraId="644AB61C" w14:textId="21392D16" w:rsidR="00441E04" w:rsidRDefault="00441E04" w:rsidP="00441E04">
      <w:pPr>
        <w:autoSpaceDE w:val="0"/>
        <w:autoSpaceDN w:val="0"/>
        <w:spacing w:after="0" w:line="240" w:lineRule="auto"/>
        <w:jc w:val="both"/>
        <w:rPr>
          <w:rFonts w:ascii="Bookman Old Style" w:hAnsi="Bookman Old Style"/>
        </w:rPr>
      </w:pPr>
    </w:p>
    <w:p w14:paraId="29836176" w14:textId="57AC8FD0" w:rsidR="00441E04" w:rsidRDefault="00441E04" w:rsidP="00441E04">
      <w:pPr>
        <w:autoSpaceDE w:val="0"/>
        <w:autoSpaceDN w:val="0"/>
        <w:spacing w:after="0" w:line="240" w:lineRule="auto"/>
        <w:jc w:val="both"/>
        <w:rPr>
          <w:rFonts w:ascii="Bookman Old Style" w:hAnsi="Bookman Old Style"/>
        </w:rPr>
      </w:pPr>
    </w:p>
    <w:p w14:paraId="7B6DE6CA" w14:textId="5B2E84DC" w:rsidR="0010653B" w:rsidRPr="0010653B" w:rsidRDefault="0010653B" w:rsidP="0010653B">
      <w:pPr>
        <w:pStyle w:val="Paragrafoelenco"/>
        <w:keepNext/>
        <w:keepLines/>
        <w:numPr>
          <w:ilvl w:val="0"/>
          <w:numId w:val="4"/>
        </w:numPr>
        <w:spacing w:before="40" w:after="0" w:line="256" w:lineRule="auto"/>
        <w:jc w:val="both"/>
        <w:outlineLvl w:val="1"/>
        <w:rPr>
          <w:rFonts w:ascii="Bookman Old Style" w:eastAsiaTheme="majorEastAsia" w:hAnsi="Bookman Old Style" w:cstheme="majorBidi"/>
          <w:b/>
          <w:bCs/>
          <w:color w:val="2F5496" w:themeColor="accent1" w:themeShade="BF"/>
        </w:rPr>
      </w:pPr>
      <w:bookmarkStart w:id="0" w:name="_Toc121913290"/>
      <w:r w:rsidRPr="0010653B">
        <w:rPr>
          <w:rFonts w:ascii="Bookman Old Style" w:eastAsiaTheme="majorEastAsia" w:hAnsi="Bookman Old Style" w:cstheme="majorBidi"/>
          <w:b/>
          <w:bCs/>
          <w:color w:val="2F5496" w:themeColor="accent1" w:themeShade="BF"/>
        </w:rPr>
        <w:t>Continuità dei servizi sociali comunali</w:t>
      </w:r>
      <w:bookmarkEnd w:id="0"/>
      <w:r w:rsidRPr="0010653B">
        <w:rPr>
          <w:rFonts w:ascii="Bookman Old Style" w:eastAsiaTheme="majorEastAsia" w:hAnsi="Bookman Old Style" w:cstheme="majorBidi"/>
          <w:b/>
          <w:bCs/>
          <w:color w:val="2F5496" w:themeColor="accent1" w:themeShade="BF"/>
        </w:rPr>
        <w:t xml:space="preserve"> (Art. 1, comma 20)</w:t>
      </w:r>
    </w:p>
    <w:p w14:paraId="7CA549AC" w14:textId="00FD49C4" w:rsidR="009512C8" w:rsidRDefault="009512C8" w:rsidP="009512C8">
      <w:pPr>
        <w:jc w:val="both"/>
        <w:rPr>
          <w:rFonts w:ascii="Bookman Old Style" w:hAnsi="Bookman Old Style"/>
        </w:rPr>
      </w:pPr>
      <w:r w:rsidRPr="009512C8">
        <w:rPr>
          <w:rFonts w:ascii="Bookman Old Style" w:hAnsi="Bookman Old Style"/>
        </w:rPr>
        <w:t>L</w:t>
      </w:r>
      <w:r w:rsidR="00A620E3" w:rsidRPr="00D46DF7">
        <w:rPr>
          <w:rFonts w:ascii="Bookman Old Style" w:hAnsi="Bookman Old Style"/>
        </w:rPr>
        <w:t>a norma</w:t>
      </w:r>
      <w:r w:rsidR="00474BD2">
        <w:rPr>
          <w:rFonts w:ascii="Bookman Old Style" w:hAnsi="Bookman Old Style"/>
        </w:rPr>
        <w:t>,</w:t>
      </w:r>
      <w:r w:rsidR="00A620E3" w:rsidRPr="00D46DF7">
        <w:rPr>
          <w:rFonts w:ascii="Bookman Old Style" w:hAnsi="Bookman Old Style"/>
        </w:rPr>
        <w:t xml:space="preserve"> </w:t>
      </w:r>
      <w:r w:rsidR="002910D8">
        <w:rPr>
          <w:rFonts w:ascii="Bookman Old Style" w:hAnsi="Bookman Old Style"/>
        </w:rPr>
        <w:t>richiesta dall’ANCI</w:t>
      </w:r>
      <w:r w:rsidR="00474BD2">
        <w:rPr>
          <w:rFonts w:ascii="Bookman Old Style" w:hAnsi="Bookman Old Style"/>
        </w:rPr>
        <w:t xml:space="preserve">, </w:t>
      </w:r>
      <w:r w:rsidR="00C27B4B" w:rsidRPr="00D46DF7">
        <w:rPr>
          <w:rFonts w:ascii="Bookman Old Style" w:hAnsi="Bookman Old Style"/>
        </w:rPr>
        <w:t>consente di ga</w:t>
      </w:r>
      <w:r w:rsidRPr="009512C8">
        <w:rPr>
          <w:rFonts w:ascii="Bookman Old Style" w:hAnsi="Bookman Old Style"/>
        </w:rPr>
        <w:t xml:space="preserve">rantire </w:t>
      </w:r>
      <w:r w:rsidR="00C27B4B" w:rsidRPr="00D46DF7">
        <w:rPr>
          <w:rFonts w:ascii="Bookman Old Style" w:hAnsi="Bookman Old Style"/>
          <w:u w:val="single"/>
        </w:rPr>
        <w:t>fino al 31 dicembre 2023</w:t>
      </w:r>
      <w:r w:rsidR="00C27B4B" w:rsidRPr="00D46DF7">
        <w:rPr>
          <w:rFonts w:ascii="Bookman Old Style" w:hAnsi="Bookman Old Style"/>
        </w:rPr>
        <w:t xml:space="preserve"> </w:t>
      </w:r>
      <w:r w:rsidRPr="009512C8">
        <w:rPr>
          <w:rFonts w:ascii="Bookman Old Style" w:hAnsi="Bookman Old Style"/>
        </w:rPr>
        <w:t>la continuità nell’erogazione delle prestazioni dei servizi sociali comunali</w:t>
      </w:r>
      <w:r w:rsidR="00A54DD5" w:rsidRPr="00A54DD5">
        <w:rPr>
          <w:rFonts w:ascii="Bookman Old Style" w:hAnsi="Bookman Old Style"/>
        </w:rPr>
        <w:t xml:space="preserve"> </w:t>
      </w:r>
      <w:r w:rsidRPr="009512C8">
        <w:rPr>
          <w:rFonts w:ascii="Bookman Old Style" w:hAnsi="Bookman Old Style"/>
        </w:rPr>
        <w:t>e in particolare la presa in carico dei beneficiari degli interventi da parte degli assistenti sociali</w:t>
      </w:r>
      <w:r w:rsidR="008837BB">
        <w:rPr>
          <w:rFonts w:ascii="Bookman Old Style" w:hAnsi="Bookman Old Style"/>
        </w:rPr>
        <w:t xml:space="preserve"> </w:t>
      </w:r>
      <w:r w:rsidRPr="009512C8">
        <w:rPr>
          <w:rFonts w:ascii="Bookman Old Style" w:hAnsi="Bookman Old Style"/>
        </w:rPr>
        <w:t>e della salvaguardia della relazione tra assistente ed assistito.</w:t>
      </w:r>
    </w:p>
    <w:p w14:paraId="60CFDC11" w14:textId="77777777" w:rsidR="00375D28" w:rsidRPr="009512C8" w:rsidRDefault="00375D28" w:rsidP="009512C8">
      <w:pPr>
        <w:jc w:val="both"/>
        <w:rPr>
          <w:rFonts w:ascii="Bookman Old Style" w:hAnsi="Bookman Old Style"/>
        </w:rPr>
      </w:pPr>
    </w:p>
    <w:p w14:paraId="4DFBD5F8" w14:textId="4AED82EF" w:rsidR="00375D28" w:rsidRPr="00375D28" w:rsidRDefault="00375D28" w:rsidP="00375D28">
      <w:pPr>
        <w:pStyle w:val="Paragrafoelenco"/>
        <w:keepNext/>
        <w:keepLines/>
        <w:numPr>
          <w:ilvl w:val="0"/>
          <w:numId w:val="4"/>
        </w:numPr>
        <w:spacing w:before="40" w:after="0" w:line="256" w:lineRule="auto"/>
        <w:jc w:val="both"/>
        <w:outlineLvl w:val="1"/>
        <w:rPr>
          <w:rFonts w:ascii="Bookman Old Style" w:eastAsiaTheme="majorEastAsia" w:hAnsi="Bookman Old Style" w:cstheme="majorBidi"/>
          <w:b/>
          <w:bCs/>
          <w:color w:val="2F5496" w:themeColor="accent1" w:themeShade="BF"/>
        </w:rPr>
      </w:pPr>
      <w:bookmarkStart w:id="1" w:name="_Toc121837518"/>
      <w:bookmarkStart w:id="2" w:name="_Toc121913297"/>
      <w:r w:rsidRPr="00375D28">
        <w:rPr>
          <w:rFonts w:ascii="Bookman Old Style" w:eastAsiaTheme="majorEastAsia" w:hAnsi="Bookman Old Style" w:cstheme="majorBidi"/>
          <w:b/>
          <w:bCs/>
          <w:color w:val="2F5496" w:themeColor="accent1" w:themeShade="BF"/>
        </w:rPr>
        <w:t xml:space="preserve">Deroga </w:t>
      </w:r>
      <w:proofErr w:type="spellStart"/>
      <w:r w:rsidRPr="00375D28">
        <w:rPr>
          <w:rFonts w:ascii="Bookman Old Style" w:eastAsiaTheme="majorEastAsia" w:hAnsi="Bookman Old Style" w:cstheme="majorBidi"/>
          <w:b/>
          <w:bCs/>
          <w:color w:val="2F5496" w:themeColor="accent1" w:themeShade="BF"/>
        </w:rPr>
        <w:t>inconferibilità</w:t>
      </w:r>
      <w:proofErr w:type="spellEnd"/>
      <w:r w:rsidRPr="00375D28">
        <w:rPr>
          <w:rFonts w:ascii="Bookman Old Style" w:eastAsiaTheme="majorEastAsia" w:hAnsi="Bookman Old Style" w:cstheme="majorBidi"/>
          <w:b/>
          <w:bCs/>
          <w:color w:val="2F5496" w:themeColor="accent1" w:themeShade="BF"/>
        </w:rPr>
        <w:t xml:space="preserve"> di incarichi a componenti di organo politico di livello regionale e locale</w:t>
      </w:r>
      <w:bookmarkEnd w:id="1"/>
      <w:bookmarkEnd w:id="2"/>
      <w:r>
        <w:rPr>
          <w:rFonts w:ascii="Bookman Old Style" w:eastAsiaTheme="majorEastAsia" w:hAnsi="Bookman Old Style" w:cstheme="majorBidi"/>
          <w:b/>
          <w:bCs/>
          <w:color w:val="2F5496" w:themeColor="accent1" w:themeShade="BF"/>
        </w:rPr>
        <w:t xml:space="preserve"> (Art. 1, comma 21)</w:t>
      </w:r>
    </w:p>
    <w:p w14:paraId="3462FDE2" w14:textId="4E7A6C26" w:rsidR="003A1CCB" w:rsidRPr="00AC5200" w:rsidRDefault="00B32B29" w:rsidP="008E42C2">
      <w:pPr>
        <w:autoSpaceDE w:val="0"/>
        <w:autoSpaceDN w:val="0"/>
        <w:spacing w:after="0" w:line="240" w:lineRule="auto"/>
        <w:jc w:val="both"/>
        <w:rPr>
          <w:rFonts w:ascii="Bookman Old Style" w:hAnsi="Bookman Old Style"/>
        </w:rPr>
      </w:pPr>
      <w:r w:rsidRPr="00B32B29">
        <w:rPr>
          <w:rFonts w:ascii="Bookman Old Style" w:hAnsi="Bookman Old Style"/>
          <w:color w:val="000000"/>
          <w:bdr w:val="none" w:sz="0" w:space="0" w:color="auto" w:frame="1"/>
        </w:rPr>
        <w:t xml:space="preserve">La </w:t>
      </w:r>
      <w:r w:rsidR="0064789F" w:rsidRPr="00AC5200">
        <w:rPr>
          <w:rFonts w:ascii="Bookman Old Style" w:hAnsi="Bookman Old Style"/>
          <w:color w:val="000000"/>
          <w:bdr w:val="none" w:sz="0" w:space="0" w:color="auto" w:frame="1"/>
        </w:rPr>
        <w:t>norma</w:t>
      </w:r>
      <w:r w:rsidR="00474BD2">
        <w:rPr>
          <w:rFonts w:ascii="Bookman Old Style" w:hAnsi="Bookman Old Style"/>
          <w:color w:val="000000"/>
          <w:bdr w:val="none" w:sz="0" w:space="0" w:color="auto" w:frame="1"/>
        </w:rPr>
        <w:t xml:space="preserve">, </w:t>
      </w:r>
      <w:r w:rsidR="0064789F" w:rsidRPr="00AC5200">
        <w:rPr>
          <w:rFonts w:ascii="Bookman Old Style" w:hAnsi="Bookman Old Style"/>
          <w:color w:val="000000"/>
          <w:bdr w:val="none" w:sz="0" w:space="0" w:color="auto" w:frame="1"/>
        </w:rPr>
        <w:t>richiesta dall’ANCI</w:t>
      </w:r>
      <w:r w:rsidR="00474BD2">
        <w:rPr>
          <w:rFonts w:ascii="Bookman Old Style" w:hAnsi="Bookman Old Style"/>
          <w:color w:val="000000"/>
          <w:bdr w:val="none" w:sz="0" w:space="0" w:color="auto" w:frame="1"/>
        </w:rPr>
        <w:t xml:space="preserve">, </w:t>
      </w:r>
      <w:r w:rsidRPr="00B32B29">
        <w:rPr>
          <w:rFonts w:ascii="Bookman Old Style" w:hAnsi="Bookman Old Style"/>
          <w:color w:val="000000"/>
          <w:u w:val="single"/>
          <w:bdr w:val="none" w:sz="0" w:space="0" w:color="auto" w:frame="1"/>
        </w:rPr>
        <w:t>proroga al 31 dicembre 2023</w:t>
      </w:r>
      <w:r w:rsidRPr="00B32B29">
        <w:rPr>
          <w:rFonts w:ascii="Bookman Old Style" w:hAnsi="Bookman Old Style"/>
          <w:color w:val="000000"/>
          <w:bdr w:val="none" w:sz="0" w:space="0" w:color="auto" w:frame="1"/>
        </w:rPr>
        <w:t xml:space="preserve"> </w:t>
      </w:r>
      <w:r w:rsidR="008956AF" w:rsidRPr="00AC5200">
        <w:rPr>
          <w:rFonts w:ascii="Bookman Old Style" w:hAnsi="Bookman Old Style"/>
          <w:color w:val="000000"/>
          <w:bdr w:val="none" w:sz="0" w:space="0" w:color="auto" w:frame="1"/>
        </w:rPr>
        <w:t>la possibilità di conferire</w:t>
      </w:r>
      <w:r w:rsidR="005B54FA" w:rsidRPr="00B32B29">
        <w:rPr>
          <w:rFonts w:ascii="Bookman Old Style" w:hAnsi="Bookman Old Style"/>
          <w:color w:val="000000"/>
          <w:bdr w:val="none" w:sz="0" w:space="0" w:color="auto" w:frame="1"/>
        </w:rPr>
        <w:t xml:space="preserve"> </w:t>
      </w:r>
      <w:r w:rsidR="007E0E31">
        <w:rPr>
          <w:rFonts w:ascii="Bookman Old Style" w:hAnsi="Bookman Old Style"/>
          <w:color w:val="000000"/>
          <w:bdr w:val="none" w:sz="0" w:space="0" w:color="auto" w:frame="1"/>
        </w:rPr>
        <w:t xml:space="preserve">gli </w:t>
      </w:r>
      <w:r w:rsidR="005B54FA" w:rsidRPr="00B32B29">
        <w:rPr>
          <w:rFonts w:ascii="Bookman Old Style" w:hAnsi="Bookman Old Style"/>
          <w:color w:val="000000"/>
          <w:bdr w:val="none" w:sz="0" w:space="0" w:color="auto" w:frame="1"/>
        </w:rPr>
        <w:t>incarichi di cui all’art. 7</w:t>
      </w:r>
      <w:r w:rsidR="00B1177F">
        <w:rPr>
          <w:rFonts w:ascii="Bookman Old Style" w:hAnsi="Bookman Old Style"/>
          <w:color w:val="000000"/>
          <w:bdr w:val="none" w:sz="0" w:space="0" w:color="auto" w:frame="1"/>
        </w:rPr>
        <w:t xml:space="preserve">, comma 1, </w:t>
      </w:r>
      <w:r w:rsidR="005B54FA" w:rsidRPr="00B32B29">
        <w:rPr>
          <w:rFonts w:ascii="Bookman Old Style" w:hAnsi="Bookman Old Style"/>
          <w:color w:val="000000"/>
          <w:bdr w:val="none" w:sz="0" w:space="0" w:color="auto" w:frame="1"/>
        </w:rPr>
        <w:t>del decreto legislativo 39/2013</w:t>
      </w:r>
      <w:r w:rsidR="007E0E31">
        <w:rPr>
          <w:rFonts w:ascii="Bookman Old Style" w:hAnsi="Bookman Old Style"/>
          <w:color w:val="000000"/>
          <w:bdr w:val="none" w:sz="0" w:space="0" w:color="auto" w:frame="1"/>
        </w:rPr>
        <w:t>,</w:t>
      </w:r>
      <w:r w:rsidR="003A1CCB" w:rsidRPr="00AC5200">
        <w:rPr>
          <w:rFonts w:ascii="Bookman Old Style" w:hAnsi="Bookman Old Style"/>
          <w:color w:val="000000"/>
          <w:bdr w:val="none" w:sz="0" w:space="0" w:color="auto" w:frame="1"/>
        </w:rPr>
        <w:t xml:space="preserve"> </w:t>
      </w:r>
      <w:r w:rsidR="003A1CCB" w:rsidRPr="00B32B29">
        <w:rPr>
          <w:rFonts w:ascii="Bookman Old Style" w:hAnsi="Bookman Old Style"/>
          <w:color w:val="000000"/>
          <w:bdr w:val="none" w:sz="0" w:space="0" w:color="auto" w:frame="1"/>
        </w:rPr>
        <w:t>per i componenti degli organi elettivi dei Comuni</w:t>
      </w:r>
      <w:r w:rsidR="00B1177F">
        <w:rPr>
          <w:rFonts w:ascii="Bookman Old Style" w:hAnsi="Bookman Old Style"/>
          <w:color w:val="000000"/>
          <w:bdr w:val="none" w:sz="0" w:space="0" w:color="auto" w:frame="1"/>
        </w:rPr>
        <w:t xml:space="preserve"> </w:t>
      </w:r>
      <w:r w:rsidR="007E0E31" w:rsidRPr="007E0E31">
        <w:rPr>
          <w:rFonts w:ascii="Bookman Old Style" w:hAnsi="Bookman Old Style"/>
          <w:color w:val="000000"/>
          <w:bdr w:val="none" w:sz="0" w:space="0" w:color="auto" w:frame="1"/>
        </w:rPr>
        <w:t>con popolazione superiore ai 15.000 abitanti</w:t>
      </w:r>
      <w:r w:rsidR="007E0E31">
        <w:rPr>
          <w:rFonts w:ascii="Bookman Old Style" w:hAnsi="Bookman Old Style"/>
          <w:color w:val="000000"/>
          <w:bdr w:val="none" w:sz="0" w:space="0" w:color="auto" w:frame="1"/>
        </w:rPr>
        <w:t xml:space="preserve"> e per</w:t>
      </w:r>
      <w:r w:rsidR="007E0E31" w:rsidRPr="007E0E31">
        <w:rPr>
          <w:rFonts w:ascii="Bookman Old Style" w:hAnsi="Bookman Old Style"/>
          <w:color w:val="000000"/>
          <w:bdr w:val="none" w:sz="0" w:space="0" w:color="auto" w:frame="1"/>
        </w:rPr>
        <w:t xml:space="preserve"> </w:t>
      </w:r>
      <w:r w:rsidR="007E0E31">
        <w:rPr>
          <w:rFonts w:ascii="Bookman Old Style" w:hAnsi="Bookman Old Style"/>
          <w:color w:val="000000"/>
          <w:bdr w:val="none" w:sz="0" w:space="0" w:color="auto" w:frame="1"/>
        </w:rPr>
        <w:t xml:space="preserve">coloro che siano stati </w:t>
      </w:r>
      <w:r w:rsidR="007E0E31" w:rsidRPr="007E0E31">
        <w:rPr>
          <w:rFonts w:ascii="Bookman Old Style" w:hAnsi="Bookman Old Style"/>
          <w:color w:val="000000"/>
          <w:bdr w:val="none" w:sz="0" w:space="0" w:color="auto" w:frame="1"/>
        </w:rPr>
        <w:t>presidente o amministratore delegato di un ente di diritto privato in controllo pubblico da parte della regione</w:t>
      </w:r>
      <w:r w:rsidR="007E0E31">
        <w:rPr>
          <w:rFonts w:ascii="Bookman Old Style" w:hAnsi="Bookman Old Style"/>
          <w:color w:val="000000"/>
          <w:bdr w:val="none" w:sz="0" w:space="0" w:color="auto" w:frame="1"/>
        </w:rPr>
        <w:t>,</w:t>
      </w:r>
      <w:r w:rsidR="007E0E31" w:rsidRPr="007E0E31">
        <w:rPr>
          <w:rFonts w:ascii="Bookman Old Style" w:hAnsi="Bookman Old Style"/>
          <w:color w:val="000000"/>
          <w:bdr w:val="none" w:sz="0" w:space="0" w:color="auto" w:frame="1"/>
        </w:rPr>
        <w:t xml:space="preserve"> </w:t>
      </w:r>
      <w:r w:rsidR="00B1177F">
        <w:rPr>
          <w:rFonts w:ascii="Bookman Old Style" w:hAnsi="Bookman Old Style"/>
          <w:color w:val="000000"/>
          <w:bdr w:val="none" w:sz="0" w:space="0" w:color="auto" w:frame="1"/>
        </w:rPr>
        <w:t>in deroga al periodo di raffreddamento d</w:t>
      </w:r>
      <w:r w:rsidR="007E0E31">
        <w:rPr>
          <w:rFonts w:ascii="Bookman Old Style" w:hAnsi="Bookman Old Style"/>
          <w:color w:val="000000"/>
          <w:bdr w:val="none" w:sz="0" w:space="0" w:color="auto" w:frame="1"/>
        </w:rPr>
        <w:t>e</w:t>
      </w:r>
      <w:r w:rsidR="00B1177F">
        <w:rPr>
          <w:rFonts w:ascii="Bookman Old Style" w:hAnsi="Bookman Old Style"/>
          <w:color w:val="000000"/>
          <w:bdr w:val="none" w:sz="0" w:space="0" w:color="auto" w:frame="1"/>
        </w:rPr>
        <w:t>i due anni successivi alla cessazione dell’incarico</w:t>
      </w:r>
      <w:r w:rsidR="008E42C2">
        <w:rPr>
          <w:rFonts w:ascii="Bookman Old Style" w:hAnsi="Bookman Old Style"/>
          <w:color w:val="000000"/>
          <w:bdr w:val="none" w:sz="0" w:space="0" w:color="auto" w:frame="1"/>
        </w:rPr>
        <w:t xml:space="preserve">. </w:t>
      </w:r>
      <w:r w:rsidR="007E0E31">
        <w:rPr>
          <w:rFonts w:ascii="Bookman Old Style" w:hAnsi="Bookman Old Style"/>
          <w:color w:val="000000"/>
          <w:bdr w:val="none" w:sz="0" w:space="0" w:color="auto" w:frame="1"/>
        </w:rPr>
        <w:t>Il divieto di cui al c</w:t>
      </w:r>
      <w:r w:rsidR="008E42C2">
        <w:rPr>
          <w:rFonts w:ascii="Bookman Old Style" w:hAnsi="Bookman Old Style"/>
          <w:color w:val="000000"/>
          <w:bdr w:val="none" w:sz="0" w:space="0" w:color="auto" w:frame="1"/>
        </w:rPr>
        <w:t>itato comma 1</w:t>
      </w:r>
      <w:r w:rsidR="007E0E31">
        <w:rPr>
          <w:rFonts w:ascii="Bookman Old Style" w:hAnsi="Bookman Old Style"/>
          <w:color w:val="000000"/>
          <w:bdr w:val="none" w:sz="0" w:space="0" w:color="auto" w:frame="1"/>
        </w:rPr>
        <w:t xml:space="preserve"> riguarda gli </w:t>
      </w:r>
      <w:r w:rsidR="00B1177F">
        <w:rPr>
          <w:rFonts w:ascii="Bookman Old Style" w:hAnsi="Bookman Old Style"/>
          <w:color w:val="000000"/>
          <w:bdr w:val="none" w:sz="0" w:space="0" w:color="auto" w:frame="1"/>
        </w:rPr>
        <w:t xml:space="preserve"> </w:t>
      </w:r>
      <w:r w:rsidR="008E42C2" w:rsidRPr="008E42C2">
        <w:rPr>
          <w:rFonts w:ascii="Bookman Old Style" w:hAnsi="Bookman Old Style"/>
          <w:color w:val="000000"/>
          <w:bdr w:val="none" w:sz="0" w:space="0" w:color="auto" w:frame="1"/>
        </w:rPr>
        <w:t>incarichi amministrativi di vertice</w:t>
      </w:r>
      <w:r w:rsidR="007E0E31">
        <w:rPr>
          <w:rFonts w:ascii="Bookman Old Style" w:hAnsi="Bookman Old Style"/>
          <w:color w:val="000000"/>
          <w:bdr w:val="none" w:sz="0" w:space="0" w:color="auto" w:frame="1"/>
        </w:rPr>
        <w:t xml:space="preserve"> e</w:t>
      </w:r>
      <w:r w:rsidR="008E42C2" w:rsidRPr="008E42C2">
        <w:rPr>
          <w:rFonts w:ascii="Bookman Old Style" w:hAnsi="Bookman Old Style"/>
          <w:color w:val="000000"/>
          <w:bdr w:val="none" w:sz="0" w:space="0" w:color="auto" w:frame="1"/>
        </w:rPr>
        <w:t xml:space="preserve"> </w:t>
      </w:r>
      <w:r w:rsidR="007E0E31">
        <w:rPr>
          <w:rFonts w:ascii="Bookman Old Style" w:hAnsi="Bookman Old Style"/>
          <w:color w:val="000000"/>
          <w:bdr w:val="none" w:sz="0" w:space="0" w:color="auto" w:frame="1"/>
        </w:rPr>
        <w:t xml:space="preserve">gli incarichi dirigenziali nella Regione </w:t>
      </w:r>
      <w:proofErr w:type="spellStart"/>
      <w:r w:rsidR="007E0E31">
        <w:rPr>
          <w:rFonts w:ascii="Bookman Old Style" w:hAnsi="Bookman Old Style"/>
          <w:color w:val="000000"/>
          <w:bdr w:val="none" w:sz="0" w:space="0" w:color="auto" w:frame="1"/>
        </w:rPr>
        <w:t>nonchè</w:t>
      </w:r>
      <w:proofErr w:type="spellEnd"/>
      <w:r w:rsidR="007E0E31">
        <w:rPr>
          <w:rFonts w:ascii="Bookman Old Style" w:hAnsi="Bookman Old Style"/>
          <w:color w:val="000000"/>
          <w:bdr w:val="none" w:sz="0" w:space="0" w:color="auto" w:frame="1"/>
        </w:rPr>
        <w:t xml:space="preserve"> gli</w:t>
      </w:r>
      <w:r w:rsidR="008E42C2">
        <w:rPr>
          <w:rFonts w:ascii="Bookman Old Style" w:hAnsi="Bookman Old Style"/>
          <w:color w:val="000000"/>
          <w:bdr w:val="none" w:sz="0" w:space="0" w:color="auto" w:frame="1"/>
        </w:rPr>
        <w:t xml:space="preserve"> </w:t>
      </w:r>
      <w:r w:rsidR="008E42C2" w:rsidRPr="008E42C2">
        <w:rPr>
          <w:rFonts w:ascii="Bookman Old Style" w:hAnsi="Bookman Old Style"/>
          <w:color w:val="000000"/>
          <w:bdr w:val="none" w:sz="0" w:space="0" w:color="auto" w:frame="1"/>
        </w:rPr>
        <w:t>incarichi di amministratore di ente pubblico di livello regionale</w:t>
      </w:r>
      <w:r w:rsidR="008E42C2">
        <w:rPr>
          <w:rFonts w:ascii="Bookman Old Style" w:hAnsi="Bookman Old Style"/>
          <w:color w:val="000000"/>
          <w:bdr w:val="none" w:sz="0" w:space="0" w:color="auto" w:frame="1"/>
        </w:rPr>
        <w:t xml:space="preserve"> e</w:t>
      </w:r>
      <w:r w:rsidR="008E42C2" w:rsidRPr="008E42C2">
        <w:rPr>
          <w:rFonts w:ascii="Bookman Old Style" w:hAnsi="Bookman Old Style"/>
          <w:color w:val="000000"/>
          <w:bdr w:val="none" w:sz="0" w:space="0" w:color="auto" w:frame="1"/>
        </w:rPr>
        <w:t xml:space="preserve"> </w:t>
      </w:r>
      <w:r w:rsidR="007E0E31">
        <w:rPr>
          <w:rFonts w:ascii="Bookman Old Style" w:hAnsi="Bookman Old Style"/>
          <w:color w:val="000000"/>
          <w:bdr w:val="none" w:sz="0" w:space="0" w:color="auto" w:frame="1"/>
        </w:rPr>
        <w:t xml:space="preserve">gli </w:t>
      </w:r>
      <w:r w:rsidR="008E42C2" w:rsidRPr="008E42C2">
        <w:rPr>
          <w:rFonts w:ascii="Bookman Old Style" w:hAnsi="Bookman Old Style"/>
          <w:color w:val="000000"/>
          <w:bdr w:val="none" w:sz="0" w:space="0" w:color="auto" w:frame="1"/>
        </w:rPr>
        <w:t>incarichi di amministratore di ente di diritto privato in controllo pubblico di livello regionale</w:t>
      </w:r>
      <w:r w:rsidR="007E0E31">
        <w:rPr>
          <w:rFonts w:ascii="Bookman Old Style" w:hAnsi="Bookman Old Style"/>
          <w:color w:val="000000"/>
          <w:bdr w:val="none" w:sz="0" w:space="0" w:color="auto" w:frame="1"/>
        </w:rPr>
        <w:t>.</w:t>
      </w:r>
    </w:p>
    <w:p w14:paraId="1B481E72" w14:textId="38C4B0FD" w:rsidR="008A78CE" w:rsidRDefault="008A78CE" w:rsidP="00441E04">
      <w:pPr>
        <w:autoSpaceDE w:val="0"/>
        <w:autoSpaceDN w:val="0"/>
        <w:spacing w:after="0" w:line="240" w:lineRule="auto"/>
        <w:jc w:val="both"/>
        <w:rPr>
          <w:rFonts w:ascii="Bookman Old Style" w:hAnsi="Bookman Old Style"/>
        </w:rPr>
      </w:pPr>
    </w:p>
    <w:p w14:paraId="712646CD" w14:textId="03120D69" w:rsidR="008A78CE" w:rsidRPr="00BB24A0" w:rsidRDefault="008A78CE" w:rsidP="00BB24A0">
      <w:pPr>
        <w:pStyle w:val="Paragrafoelenco"/>
        <w:keepNext/>
        <w:keepLines/>
        <w:numPr>
          <w:ilvl w:val="0"/>
          <w:numId w:val="4"/>
        </w:numPr>
        <w:spacing w:before="40" w:after="0" w:line="256" w:lineRule="auto"/>
        <w:jc w:val="both"/>
        <w:outlineLvl w:val="1"/>
        <w:rPr>
          <w:rFonts w:ascii="Bookman Old Style" w:eastAsiaTheme="majorEastAsia" w:hAnsi="Bookman Old Style" w:cstheme="majorBidi"/>
          <w:b/>
          <w:bCs/>
          <w:color w:val="2F5496" w:themeColor="accent1" w:themeShade="BF"/>
        </w:rPr>
      </w:pPr>
      <w:bookmarkStart w:id="3" w:name="_Toc121913293"/>
      <w:r w:rsidRPr="00BB24A0">
        <w:rPr>
          <w:rFonts w:ascii="Bookman Old Style" w:eastAsiaTheme="majorEastAsia" w:hAnsi="Bookman Old Style" w:cstheme="majorBidi"/>
          <w:b/>
          <w:bCs/>
          <w:color w:val="2F5496" w:themeColor="accent1" w:themeShade="BF"/>
        </w:rPr>
        <w:t>Proroga del termine per l’aggiudicazione di interventi edilizia scolastica zero- sei</w:t>
      </w:r>
      <w:bookmarkEnd w:id="3"/>
      <w:r w:rsidRPr="00BB24A0">
        <w:rPr>
          <w:rFonts w:ascii="Bookman Old Style" w:eastAsiaTheme="majorEastAsia" w:hAnsi="Bookman Old Style" w:cstheme="majorBidi"/>
          <w:b/>
          <w:bCs/>
          <w:color w:val="2F5496" w:themeColor="accent1" w:themeShade="BF"/>
        </w:rPr>
        <w:t xml:space="preserve"> </w:t>
      </w:r>
      <w:r w:rsidR="00BB24A0" w:rsidRPr="00BB24A0">
        <w:rPr>
          <w:rFonts w:ascii="Bookman Old Style" w:eastAsiaTheme="majorEastAsia" w:hAnsi="Bookman Old Style" w:cstheme="majorBidi"/>
          <w:b/>
          <w:bCs/>
          <w:color w:val="2F5496" w:themeColor="accent1" w:themeShade="BF"/>
        </w:rPr>
        <w:t>(Art. 5, comma 2)</w:t>
      </w:r>
    </w:p>
    <w:p w14:paraId="1B14FEC7" w14:textId="75BE5E62" w:rsidR="008A78CE" w:rsidRPr="008A78CE" w:rsidRDefault="002A6333" w:rsidP="008A78CE">
      <w:pPr>
        <w:shd w:val="clear" w:color="auto" w:fill="FFFFFF"/>
        <w:spacing w:after="0" w:line="240" w:lineRule="auto"/>
        <w:jc w:val="both"/>
        <w:rPr>
          <w:rFonts w:ascii="Bookman Old Style" w:hAnsi="Bookman Old Style" w:cs="Calibri"/>
          <w:lang w:eastAsia="it-IT"/>
        </w:rPr>
      </w:pPr>
      <w:r w:rsidRPr="00B32B29">
        <w:rPr>
          <w:rFonts w:ascii="Bookman Old Style" w:hAnsi="Bookman Old Style"/>
          <w:color w:val="000000"/>
          <w:bdr w:val="none" w:sz="0" w:space="0" w:color="auto" w:frame="1"/>
        </w:rPr>
        <w:t xml:space="preserve">La </w:t>
      </w:r>
      <w:r w:rsidRPr="00767709">
        <w:rPr>
          <w:rFonts w:ascii="Bookman Old Style" w:hAnsi="Bookman Old Style"/>
          <w:color w:val="000000"/>
          <w:bdr w:val="none" w:sz="0" w:space="0" w:color="auto" w:frame="1"/>
        </w:rPr>
        <w:t>norma</w:t>
      </w:r>
      <w:r w:rsidR="00474BD2">
        <w:rPr>
          <w:rFonts w:ascii="Bookman Old Style" w:hAnsi="Bookman Old Style"/>
          <w:color w:val="000000"/>
          <w:bdr w:val="none" w:sz="0" w:space="0" w:color="auto" w:frame="1"/>
        </w:rPr>
        <w:t xml:space="preserve">, </w:t>
      </w:r>
      <w:r w:rsidRPr="00767709">
        <w:rPr>
          <w:rFonts w:ascii="Bookman Old Style" w:hAnsi="Bookman Old Style"/>
          <w:color w:val="000000"/>
          <w:bdr w:val="none" w:sz="0" w:space="0" w:color="auto" w:frame="1"/>
        </w:rPr>
        <w:t xml:space="preserve"> richiesta dall’ANCI</w:t>
      </w:r>
      <w:r w:rsidR="00474BD2">
        <w:rPr>
          <w:rFonts w:ascii="Bookman Old Style" w:hAnsi="Bookman Old Style"/>
          <w:color w:val="000000"/>
          <w:bdr w:val="none" w:sz="0" w:space="0" w:color="auto" w:frame="1"/>
        </w:rPr>
        <w:t>,</w:t>
      </w:r>
      <w:r w:rsidRPr="00767709">
        <w:rPr>
          <w:rFonts w:ascii="Bookman Old Style" w:hAnsi="Bookman Old Style"/>
          <w:color w:val="000000"/>
          <w:bdr w:val="none" w:sz="0" w:space="0" w:color="auto" w:frame="1"/>
        </w:rPr>
        <w:t xml:space="preserve"> </w:t>
      </w:r>
      <w:r w:rsidR="00767709">
        <w:rPr>
          <w:rFonts w:ascii="Bookman Old Style" w:hAnsi="Bookman Old Style"/>
          <w:color w:val="000000"/>
          <w:bdr w:val="none" w:sz="0" w:space="0" w:color="auto" w:frame="1"/>
        </w:rPr>
        <w:t xml:space="preserve">proroga </w:t>
      </w:r>
      <w:r w:rsidR="008A78CE" w:rsidRPr="008A78CE">
        <w:rPr>
          <w:rFonts w:ascii="Bookman Old Style" w:hAnsi="Bookman Old Style" w:cs="Calibri"/>
          <w:color w:val="000000"/>
          <w:lang w:eastAsia="it-IT"/>
        </w:rPr>
        <w:t xml:space="preserve">il termine massimo fissato ora al 31 marzo 2023 </w:t>
      </w:r>
      <w:r w:rsidR="008A78CE" w:rsidRPr="008A78CE">
        <w:rPr>
          <w:rFonts w:ascii="Bookman Old Style" w:hAnsi="Bookman Old Style" w:cs="Calibri"/>
          <w:color w:val="000000"/>
          <w:u w:val="single"/>
          <w:lang w:eastAsia="it-IT"/>
        </w:rPr>
        <w:t>al 31 maggio 2023</w:t>
      </w:r>
      <w:r w:rsidR="008A78CE" w:rsidRPr="008A78CE">
        <w:rPr>
          <w:rFonts w:ascii="Bookman Old Style" w:hAnsi="Bookman Old Style" w:cs="Calibri"/>
          <w:color w:val="000000"/>
          <w:lang w:eastAsia="it-IT"/>
        </w:rPr>
        <w:t xml:space="preserve"> per l’aggiudicazione degli interventi di messa in sicurezza, ristrutturazione, riqualificazione o costruzione di  asili nido e scuole infanzia di cui al comma 59, L. 160/2019, rientranti nel PNRR, consentendo così agli enti locali </w:t>
      </w:r>
      <w:r w:rsidR="008A78CE" w:rsidRPr="008A78CE">
        <w:rPr>
          <w:rFonts w:ascii="Bookman Old Style" w:hAnsi="Bookman Old Style" w:cs="Calibri"/>
          <w:color w:val="212121"/>
          <w:lang w:eastAsia="it-IT"/>
        </w:rPr>
        <w:t> beneficiari dei finanziamenti</w:t>
      </w:r>
      <w:r w:rsidR="008A78CE" w:rsidRPr="008A78CE">
        <w:rPr>
          <w:rFonts w:ascii="Bookman Old Style" w:hAnsi="Bookman Old Style" w:cs="Calibri"/>
          <w:color w:val="000000"/>
          <w:lang w:eastAsia="it-IT"/>
        </w:rPr>
        <w:t xml:space="preserve"> </w:t>
      </w:r>
      <w:r w:rsidR="008A78CE" w:rsidRPr="008A78CE">
        <w:rPr>
          <w:rFonts w:ascii="Bookman Old Style" w:hAnsi="Bookman Old Style" w:cs="Calibri"/>
          <w:color w:val="212121"/>
          <w:lang w:eastAsia="it-IT"/>
        </w:rPr>
        <w:t>di attuare concretamente gli interventi,</w:t>
      </w:r>
      <w:r w:rsidR="008A78CE" w:rsidRPr="008A78CE">
        <w:rPr>
          <w:rFonts w:ascii="Bookman Old Style" w:hAnsi="Bookman Old Style" w:cs="Calibri"/>
          <w:color w:val="000000"/>
          <w:lang w:eastAsia="it-IT"/>
        </w:rPr>
        <w:t xml:space="preserve"> anche</w:t>
      </w:r>
      <w:r w:rsidR="008A78CE" w:rsidRPr="008A78CE">
        <w:rPr>
          <w:rFonts w:ascii="Bookman Old Style" w:hAnsi="Bookman Old Style" w:cs="Calibri"/>
          <w:color w:val="212121"/>
          <w:lang w:eastAsia="it-IT"/>
        </w:rPr>
        <w:t xml:space="preserve"> in considerazi</w:t>
      </w:r>
      <w:r w:rsidR="008A78CE" w:rsidRPr="008A78CE">
        <w:rPr>
          <w:rFonts w:ascii="Bookman Old Style" w:hAnsi="Bookman Old Style" w:cs="Calibri"/>
          <w:color w:val="000000"/>
          <w:lang w:eastAsia="it-IT"/>
        </w:rPr>
        <w:t xml:space="preserve">one dell’ampio arco temporale registrato dalla pubblicazione </w:t>
      </w:r>
      <w:r w:rsidR="008A78CE" w:rsidRPr="008A78CE">
        <w:rPr>
          <w:rFonts w:ascii="Bookman Old Style" w:hAnsi="Bookman Old Style" w:cs="Calibri"/>
          <w:color w:val="212121"/>
          <w:lang w:eastAsia="it-IT"/>
        </w:rPr>
        <w:t> </w:t>
      </w:r>
      <w:r w:rsidR="008A78CE" w:rsidRPr="008A78CE">
        <w:rPr>
          <w:rFonts w:ascii="Bookman Old Style" w:hAnsi="Bookman Old Style" w:cs="Calibri"/>
          <w:color w:val="000000"/>
          <w:lang w:eastAsia="it-IT"/>
        </w:rPr>
        <w:t xml:space="preserve">delle </w:t>
      </w:r>
      <w:r w:rsidR="008A78CE" w:rsidRPr="008A78CE">
        <w:rPr>
          <w:rFonts w:ascii="Bookman Old Style" w:hAnsi="Bookman Old Style" w:cs="Calibri"/>
          <w:color w:val="212121"/>
          <w:lang w:eastAsia="it-IT"/>
        </w:rPr>
        <w:t xml:space="preserve">graduatorie </w:t>
      </w:r>
      <w:r w:rsidR="008A78CE" w:rsidRPr="008A78CE">
        <w:rPr>
          <w:rFonts w:ascii="Bookman Old Style" w:hAnsi="Bookman Old Style" w:cs="Calibri"/>
          <w:color w:val="000000"/>
          <w:lang w:eastAsia="it-IT"/>
        </w:rPr>
        <w:t xml:space="preserve">alla sottoscrizione </w:t>
      </w:r>
      <w:r w:rsidR="008A78CE" w:rsidRPr="008A78CE">
        <w:rPr>
          <w:rFonts w:ascii="Bookman Old Style" w:hAnsi="Bookman Old Style" w:cs="Calibri"/>
          <w:color w:val="212121"/>
          <w:lang w:eastAsia="it-IT"/>
        </w:rPr>
        <w:t> </w:t>
      </w:r>
      <w:r w:rsidR="008A78CE" w:rsidRPr="008A78CE">
        <w:rPr>
          <w:rFonts w:ascii="Bookman Old Style" w:hAnsi="Bookman Old Style" w:cs="Calibri"/>
          <w:color w:val="000000"/>
          <w:lang w:eastAsia="it-IT"/>
        </w:rPr>
        <w:t xml:space="preserve">degli </w:t>
      </w:r>
      <w:r w:rsidR="008A78CE" w:rsidRPr="008A78CE">
        <w:rPr>
          <w:rFonts w:ascii="Bookman Old Style" w:hAnsi="Bookman Old Style" w:cs="Calibri"/>
          <w:color w:val="212121"/>
          <w:lang w:eastAsia="it-IT"/>
        </w:rPr>
        <w:t>accordi di concessione</w:t>
      </w:r>
      <w:r w:rsidR="008A78CE" w:rsidRPr="008A78CE">
        <w:rPr>
          <w:rFonts w:ascii="Bookman Old Style" w:hAnsi="Bookman Old Style" w:cs="Calibri"/>
          <w:color w:val="000000"/>
          <w:lang w:eastAsia="it-IT"/>
        </w:rPr>
        <w:t xml:space="preserve"> del finanziamento. </w:t>
      </w:r>
    </w:p>
    <w:p w14:paraId="6CC6AEE0" w14:textId="432D93E6" w:rsidR="008A78CE" w:rsidRDefault="008A78CE" w:rsidP="00441E04">
      <w:pPr>
        <w:autoSpaceDE w:val="0"/>
        <w:autoSpaceDN w:val="0"/>
        <w:spacing w:after="0" w:line="240" w:lineRule="auto"/>
        <w:jc w:val="both"/>
        <w:rPr>
          <w:rFonts w:ascii="Bookman Old Style" w:hAnsi="Bookman Old Style"/>
        </w:rPr>
      </w:pPr>
    </w:p>
    <w:p w14:paraId="468FA417" w14:textId="77777777" w:rsidR="001B30A6" w:rsidRDefault="001B30A6" w:rsidP="00441E04">
      <w:pPr>
        <w:autoSpaceDE w:val="0"/>
        <w:autoSpaceDN w:val="0"/>
        <w:spacing w:after="0" w:line="240" w:lineRule="auto"/>
        <w:jc w:val="both"/>
        <w:rPr>
          <w:rFonts w:ascii="Bookman Old Style" w:hAnsi="Bookman Old Style"/>
        </w:rPr>
      </w:pPr>
    </w:p>
    <w:p w14:paraId="406BD6AF" w14:textId="400278DD" w:rsidR="000550C3" w:rsidRPr="000550C3" w:rsidRDefault="000550C3" w:rsidP="000550C3">
      <w:pPr>
        <w:pStyle w:val="Paragrafoelenco"/>
        <w:keepNext/>
        <w:keepLines/>
        <w:numPr>
          <w:ilvl w:val="0"/>
          <w:numId w:val="4"/>
        </w:numPr>
        <w:spacing w:before="40" w:after="0" w:line="256" w:lineRule="auto"/>
        <w:jc w:val="both"/>
        <w:outlineLvl w:val="1"/>
        <w:rPr>
          <w:rFonts w:ascii="Bookman Old Style" w:eastAsiaTheme="majorEastAsia" w:hAnsi="Bookman Old Style" w:cstheme="majorBidi"/>
          <w:b/>
          <w:bCs/>
          <w:color w:val="2F5496" w:themeColor="accent1" w:themeShade="BF"/>
        </w:rPr>
      </w:pPr>
      <w:bookmarkStart w:id="4" w:name="_Toc121913292"/>
      <w:r w:rsidRPr="000550C3">
        <w:rPr>
          <w:rFonts w:ascii="Bookman Old Style" w:eastAsiaTheme="majorEastAsia" w:hAnsi="Bookman Old Style" w:cstheme="majorBidi"/>
          <w:b/>
          <w:bCs/>
          <w:color w:val="2F5496" w:themeColor="accent1" w:themeShade="BF"/>
        </w:rPr>
        <w:t>Termini per la messa a norma antincendio edifici servizi educativi e scolastici</w:t>
      </w:r>
      <w:bookmarkEnd w:id="4"/>
      <w:r w:rsidR="00C551B5">
        <w:rPr>
          <w:rFonts w:ascii="Bookman Old Style" w:eastAsiaTheme="majorEastAsia" w:hAnsi="Bookman Old Style" w:cstheme="majorBidi"/>
          <w:b/>
          <w:bCs/>
          <w:color w:val="2F5496" w:themeColor="accent1" w:themeShade="BF"/>
        </w:rPr>
        <w:t xml:space="preserve"> (Art. 5, comma 5)</w:t>
      </w:r>
    </w:p>
    <w:p w14:paraId="455DDD08" w14:textId="64D6DABC" w:rsidR="000550C3" w:rsidRDefault="0000682D" w:rsidP="000550C3">
      <w:pPr>
        <w:spacing w:line="256" w:lineRule="auto"/>
        <w:jc w:val="both"/>
        <w:rPr>
          <w:rFonts w:ascii="Bookman Old Style" w:hAnsi="Bookman Old Style" w:cs="Calibri"/>
        </w:rPr>
      </w:pPr>
      <w:r w:rsidRPr="007752B7">
        <w:rPr>
          <w:rFonts w:ascii="Bookman Old Style" w:hAnsi="Bookman Old Style" w:cs="Calibri"/>
        </w:rPr>
        <w:t>La norma</w:t>
      </w:r>
      <w:r w:rsidR="00474BD2">
        <w:rPr>
          <w:rFonts w:ascii="Bookman Old Style" w:hAnsi="Bookman Old Style" w:cs="Calibri"/>
        </w:rPr>
        <w:t>,</w:t>
      </w:r>
      <w:r w:rsidRPr="007752B7">
        <w:rPr>
          <w:rFonts w:ascii="Bookman Old Style" w:hAnsi="Bookman Old Style" w:cs="Calibri"/>
        </w:rPr>
        <w:t xml:space="preserve"> richiesta dall’ANCI</w:t>
      </w:r>
      <w:r w:rsidR="00474BD2">
        <w:rPr>
          <w:rFonts w:ascii="Bookman Old Style" w:hAnsi="Bookman Old Style" w:cs="Calibri"/>
        </w:rPr>
        <w:t xml:space="preserve">, </w:t>
      </w:r>
      <w:r w:rsidR="000550C3" w:rsidRPr="000550C3">
        <w:rPr>
          <w:rFonts w:ascii="Bookman Old Style" w:hAnsi="Bookman Old Style" w:cs="Calibri"/>
          <w:u w:val="single"/>
        </w:rPr>
        <w:t>differisce</w:t>
      </w:r>
      <w:r w:rsidRPr="00D833F5">
        <w:rPr>
          <w:rFonts w:ascii="Bookman Old Style" w:hAnsi="Bookman Old Style" w:cs="Calibri"/>
          <w:u w:val="single"/>
        </w:rPr>
        <w:t xml:space="preserve"> al 31 dicembre 2023</w:t>
      </w:r>
      <w:r w:rsidRPr="00D833F5">
        <w:rPr>
          <w:rFonts w:ascii="Bookman Old Style" w:hAnsi="Bookman Old Style" w:cs="Calibri"/>
        </w:rPr>
        <w:t xml:space="preserve"> </w:t>
      </w:r>
      <w:r w:rsidR="000550C3" w:rsidRPr="000550C3">
        <w:rPr>
          <w:rFonts w:ascii="Bookman Old Style" w:hAnsi="Bookman Old Style" w:cs="Calibri"/>
        </w:rPr>
        <w:t xml:space="preserve"> </w:t>
      </w:r>
      <w:r w:rsidR="00D833F5" w:rsidRPr="00D833F5">
        <w:rPr>
          <w:rFonts w:ascii="Bookman Old Style" w:hAnsi="Bookman Old Style" w:cs="Calibri"/>
        </w:rPr>
        <w:t xml:space="preserve">  </w:t>
      </w:r>
      <w:r w:rsidR="000550C3" w:rsidRPr="000550C3">
        <w:rPr>
          <w:rFonts w:ascii="Bookman Old Style" w:hAnsi="Bookman Old Style" w:cs="Calibri"/>
        </w:rPr>
        <w:t xml:space="preserve">i termini previsti per la messa a norma antincendio al fine di permettere agli enti locali di utilizzare tali risorse anche per l’adeguamento antincendio. </w:t>
      </w:r>
    </w:p>
    <w:p w14:paraId="37D2BC24" w14:textId="77777777" w:rsidR="007E0E31" w:rsidRPr="000550C3" w:rsidRDefault="007E0E31" w:rsidP="000550C3">
      <w:pPr>
        <w:spacing w:line="256" w:lineRule="auto"/>
        <w:jc w:val="both"/>
      </w:pPr>
    </w:p>
    <w:p w14:paraId="2C0BAD5B" w14:textId="2895B9D4" w:rsidR="001611CE" w:rsidRPr="00FC2882" w:rsidRDefault="001611CE" w:rsidP="00FC2882">
      <w:pPr>
        <w:pStyle w:val="Paragrafoelenco"/>
        <w:keepNext/>
        <w:keepLines/>
        <w:numPr>
          <w:ilvl w:val="0"/>
          <w:numId w:val="4"/>
        </w:numPr>
        <w:spacing w:before="40" w:after="0" w:line="256" w:lineRule="auto"/>
        <w:jc w:val="both"/>
        <w:outlineLvl w:val="1"/>
        <w:rPr>
          <w:rFonts w:ascii="Bookman Old Style" w:eastAsiaTheme="majorEastAsia" w:hAnsi="Bookman Old Style" w:cstheme="majorBidi"/>
          <w:b/>
          <w:bCs/>
          <w:color w:val="2F5496" w:themeColor="accent1" w:themeShade="BF"/>
        </w:rPr>
      </w:pPr>
      <w:bookmarkStart w:id="5" w:name="_Toc121913291"/>
      <w:r w:rsidRPr="00FC2882">
        <w:rPr>
          <w:rFonts w:ascii="Bookman Old Style" w:eastAsiaTheme="majorEastAsia" w:hAnsi="Bookman Old Style" w:cstheme="majorBidi"/>
          <w:b/>
          <w:bCs/>
          <w:color w:val="2F5496" w:themeColor="accent1" w:themeShade="BF"/>
        </w:rPr>
        <w:t>Incarichi temporanei scuole infanzia paritarie</w:t>
      </w:r>
      <w:bookmarkEnd w:id="5"/>
      <w:r w:rsidRPr="00FC2882">
        <w:rPr>
          <w:rFonts w:ascii="Bookman Old Style" w:eastAsiaTheme="majorEastAsia" w:hAnsi="Bookman Old Style" w:cstheme="majorBidi"/>
          <w:b/>
          <w:bCs/>
          <w:color w:val="2F5496" w:themeColor="accent1" w:themeShade="BF"/>
        </w:rPr>
        <w:t xml:space="preserve"> </w:t>
      </w:r>
      <w:r w:rsidR="00FC2882" w:rsidRPr="00FC2882">
        <w:rPr>
          <w:rFonts w:ascii="Bookman Old Style" w:eastAsiaTheme="majorEastAsia" w:hAnsi="Bookman Old Style" w:cstheme="majorBidi"/>
          <w:b/>
          <w:bCs/>
          <w:color w:val="2F5496" w:themeColor="accent1" w:themeShade="BF"/>
        </w:rPr>
        <w:t>(Art. 5, comma 8)</w:t>
      </w:r>
    </w:p>
    <w:p w14:paraId="36A60A22" w14:textId="0CE6EAB0" w:rsidR="001611CE" w:rsidRPr="001611CE" w:rsidRDefault="00FF1965" w:rsidP="001611CE">
      <w:pPr>
        <w:spacing w:line="256" w:lineRule="auto"/>
        <w:jc w:val="both"/>
        <w:rPr>
          <w:rFonts w:ascii="Bookman Old Style" w:hAnsi="Bookman Old Style"/>
        </w:rPr>
      </w:pPr>
      <w:r w:rsidRPr="002D1BA2">
        <w:rPr>
          <w:rFonts w:ascii="Bookman Old Style" w:hAnsi="Bookman Old Style"/>
        </w:rPr>
        <w:t>La norma</w:t>
      </w:r>
      <w:r w:rsidR="00474BD2">
        <w:rPr>
          <w:rFonts w:ascii="Bookman Old Style" w:hAnsi="Bookman Old Style"/>
        </w:rPr>
        <w:t>,</w:t>
      </w:r>
      <w:r w:rsidRPr="002D1BA2">
        <w:rPr>
          <w:rFonts w:ascii="Bookman Old Style" w:hAnsi="Bookman Old Style"/>
        </w:rPr>
        <w:t xml:space="preserve"> richiesta dall’ANCI</w:t>
      </w:r>
      <w:r w:rsidR="00474BD2">
        <w:rPr>
          <w:rFonts w:ascii="Bookman Old Style" w:hAnsi="Bookman Old Style"/>
        </w:rPr>
        <w:t xml:space="preserve">, </w:t>
      </w:r>
      <w:r w:rsidR="001611CE" w:rsidRPr="001611CE">
        <w:rPr>
          <w:rFonts w:ascii="Bookman Old Style" w:hAnsi="Bookman Old Style"/>
        </w:rPr>
        <w:t>consent</w:t>
      </w:r>
      <w:r w:rsidR="002D1BA2" w:rsidRPr="002D1BA2">
        <w:rPr>
          <w:rFonts w:ascii="Bookman Old Style" w:hAnsi="Bookman Old Style"/>
        </w:rPr>
        <w:t>e</w:t>
      </w:r>
      <w:r w:rsidR="001611CE" w:rsidRPr="001611CE">
        <w:rPr>
          <w:rFonts w:ascii="Bookman Old Style" w:hAnsi="Bookman Old Style"/>
        </w:rPr>
        <w:t xml:space="preserve"> ai Comuni</w:t>
      </w:r>
      <w:r w:rsidR="009C018A">
        <w:rPr>
          <w:rFonts w:ascii="Bookman Old Style" w:hAnsi="Bookman Old Style"/>
        </w:rPr>
        <w:t xml:space="preserve"> anche per l’anno</w:t>
      </w:r>
      <w:r w:rsidR="001611CE" w:rsidRPr="001611CE">
        <w:rPr>
          <w:rFonts w:ascii="Bookman Old Style" w:hAnsi="Bookman Old Style"/>
        </w:rPr>
        <w:t xml:space="preserve"> scolastic</w:t>
      </w:r>
      <w:r w:rsidR="009C018A">
        <w:rPr>
          <w:rFonts w:ascii="Bookman Old Style" w:hAnsi="Bookman Old Style"/>
        </w:rPr>
        <w:t>o</w:t>
      </w:r>
      <w:r w:rsidR="001611CE" w:rsidRPr="001611CE">
        <w:rPr>
          <w:rFonts w:ascii="Bookman Old Style" w:hAnsi="Bookman Old Style"/>
        </w:rPr>
        <w:t xml:space="preserve"> 2023/2024, l’affidamento di incarichi temporanei per le sostituzioni nelle scuole dell’infanzia comunali, attingendo alle graduatorie comunali degli educatori dei servizi educativi, in possesso di titolo idoneo a operare in tali servizi.</w:t>
      </w:r>
      <w:r w:rsidR="00010BF5" w:rsidRPr="00010BF5">
        <w:rPr>
          <w:rFonts w:ascii="Bookman Old Style" w:hAnsi="Bookman Old Style"/>
        </w:rPr>
        <w:t xml:space="preserve"> </w:t>
      </w:r>
      <w:r w:rsidR="00010BF5" w:rsidRPr="001611CE">
        <w:rPr>
          <w:rFonts w:ascii="Bookman Old Style" w:hAnsi="Bookman Old Style"/>
        </w:rPr>
        <w:t>qualora si verifichi l'impossibilità di reperire personale docente</w:t>
      </w:r>
      <w:r w:rsidR="00010BF5" w:rsidRPr="00010BF5">
        <w:rPr>
          <w:rFonts w:ascii="Bookman Old Style" w:hAnsi="Bookman Old Style"/>
        </w:rPr>
        <w:t>.</w:t>
      </w:r>
    </w:p>
    <w:p w14:paraId="6662A379" w14:textId="4C9DA420" w:rsidR="008A78CE" w:rsidRDefault="008A78CE" w:rsidP="00441E04">
      <w:pPr>
        <w:autoSpaceDE w:val="0"/>
        <w:autoSpaceDN w:val="0"/>
        <w:spacing w:after="0" w:line="240" w:lineRule="auto"/>
        <w:jc w:val="both"/>
        <w:rPr>
          <w:rFonts w:ascii="Bookman Old Style" w:hAnsi="Bookman Old Style"/>
        </w:rPr>
      </w:pPr>
    </w:p>
    <w:p w14:paraId="6E939BF2" w14:textId="108901E2" w:rsidR="00C46A0B" w:rsidRPr="00544D02" w:rsidRDefault="00C46A0B" w:rsidP="00544D0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Bookman Old Style" w:eastAsiaTheme="majorEastAsia" w:hAnsi="Bookman Old Style" w:cstheme="majorBidi"/>
          <w:b/>
          <w:bCs/>
          <w:color w:val="2F5496" w:themeColor="accent1" w:themeShade="BF"/>
        </w:rPr>
      </w:pPr>
      <w:r w:rsidRPr="00544D02">
        <w:rPr>
          <w:rFonts w:ascii="Bookman Old Style" w:eastAsiaTheme="majorEastAsia" w:hAnsi="Bookman Old Style" w:cstheme="majorBidi"/>
          <w:b/>
          <w:bCs/>
          <w:color w:val="2F5496" w:themeColor="accent1" w:themeShade="BF"/>
        </w:rPr>
        <w:t>Sostegno pubblici esercizi (</w:t>
      </w:r>
      <w:r w:rsidR="009C05D6">
        <w:rPr>
          <w:rFonts w:ascii="Bookman Old Style" w:eastAsiaTheme="majorEastAsia" w:hAnsi="Bookman Old Style" w:cstheme="majorBidi"/>
          <w:b/>
          <w:bCs/>
          <w:color w:val="2F5496" w:themeColor="accent1" w:themeShade="BF"/>
        </w:rPr>
        <w:t>A</w:t>
      </w:r>
      <w:r w:rsidRPr="00544D02">
        <w:rPr>
          <w:rFonts w:ascii="Bookman Old Style" w:eastAsiaTheme="majorEastAsia" w:hAnsi="Bookman Old Style" w:cstheme="majorBidi"/>
          <w:b/>
          <w:bCs/>
          <w:color w:val="2F5496" w:themeColor="accent1" w:themeShade="BF"/>
        </w:rPr>
        <w:t>rt. 7, comma 7)</w:t>
      </w:r>
    </w:p>
    <w:p w14:paraId="49390F8E" w14:textId="2C9EB925" w:rsidR="00EA6EC0" w:rsidRPr="00544D02" w:rsidRDefault="00484968" w:rsidP="00544D02">
      <w:pPr>
        <w:spacing w:after="0" w:line="240" w:lineRule="auto"/>
        <w:jc w:val="both"/>
        <w:rPr>
          <w:rFonts w:ascii="Bookman Old Style" w:hAnsi="Bookman Old Style"/>
        </w:rPr>
      </w:pPr>
      <w:r w:rsidRPr="00544D02">
        <w:rPr>
          <w:rFonts w:ascii="Bookman Old Style" w:hAnsi="Bookman Old Style" w:cs="Calibri"/>
          <w:lang w:eastAsia="it-IT"/>
        </w:rPr>
        <w:t>La norma</w:t>
      </w:r>
      <w:r w:rsidR="00474BD2">
        <w:rPr>
          <w:rFonts w:ascii="Bookman Old Style" w:hAnsi="Bookman Old Style" w:cs="Calibri"/>
          <w:lang w:eastAsia="it-IT"/>
        </w:rPr>
        <w:t>,</w:t>
      </w:r>
      <w:r w:rsidRPr="00544D02">
        <w:rPr>
          <w:rFonts w:ascii="Bookman Old Style" w:hAnsi="Bookman Old Style" w:cs="Calibri"/>
          <w:lang w:eastAsia="it-IT"/>
        </w:rPr>
        <w:t xml:space="preserve"> richiesta </w:t>
      </w:r>
      <w:r w:rsidR="00214D56" w:rsidRPr="00544D02">
        <w:rPr>
          <w:rFonts w:ascii="Bookman Old Style" w:hAnsi="Bookman Old Style" w:cs="Calibri"/>
          <w:lang w:eastAsia="it-IT"/>
        </w:rPr>
        <w:t>dall’ANCI</w:t>
      </w:r>
      <w:r w:rsidR="00474BD2">
        <w:rPr>
          <w:rFonts w:ascii="Bookman Old Style" w:hAnsi="Bookman Old Style" w:cs="Calibri"/>
          <w:lang w:eastAsia="it-IT"/>
        </w:rPr>
        <w:t xml:space="preserve">, </w:t>
      </w:r>
      <w:r w:rsidR="00EA6EC0" w:rsidRPr="00544D02">
        <w:rPr>
          <w:rFonts w:ascii="Bookman Old Style" w:hAnsi="Bookman Old Style"/>
        </w:rPr>
        <w:t xml:space="preserve">proroga fino al 30 giugno 2023 l'applicazione delle disposizioni che  prevedono </w:t>
      </w:r>
      <w:r w:rsidR="00EA6EC0" w:rsidRPr="00544D02">
        <w:rPr>
          <w:rFonts w:ascii="Bookman Old Style" w:hAnsi="Bookman Old Style"/>
          <w:shd w:val="clear" w:color="auto" w:fill="FFFFFF"/>
        </w:rPr>
        <w:t>la  deroga  alle autorizzazioni previste dagli art. 21 e 46 del Codice dei Beni culturali</w:t>
      </w:r>
      <w:r w:rsidR="00EA6EC0" w:rsidRPr="00544D02">
        <w:rPr>
          <w:rFonts w:ascii="Bookman Old Style" w:hAnsi="Bookman Old Style"/>
        </w:rPr>
        <w:t xml:space="preserve"> per </w:t>
      </w:r>
      <w:r w:rsidR="00EA6EC0" w:rsidRPr="00544D02">
        <w:rPr>
          <w:rFonts w:ascii="Bookman Old Style" w:hAnsi="Bookman Old Style"/>
          <w:shd w:val="clear" w:color="auto" w:fill="FFFFFF"/>
        </w:rPr>
        <w:t>la posa in opera temporanea da parte pubblici esercizi di strutture amovibili (</w:t>
      </w:r>
      <w:proofErr w:type="spellStart"/>
      <w:r w:rsidR="00EA6EC0" w:rsidRPr="00544D02">
        <w:rPr>
          <w:rStyle w:val="wkit-italic"/>
          <w:rFonts w:ascii="Bookman Old Style" w:hAnsi="Bookman Old Style"/>
          <w:i/>
          <w:iCs/>
          <w:shd w:val="clear" w:color="auto" w:fill="FFFFFF"/>
        </w:rPr>
        <w:t>dehors</w:t>
      </w:r>
      <w:proofErr w:type="spellEnd"/>
      <w:r w:rsidR="00EA6EC0" w:rsidRPr="00544D02">
        <w:rPr>
          <w:rFonts w:ascii="Bookman Old Style" w:hAnsi="Bookman Old Style"/>
          <w:shd w:val="clear" w:color="auto" w:fill="FFFFFF"/>
        </w:rPr>
        <w:t>, elementi di arredo urbano, attrezzature, pedane, tavolini, sedute e ombrelloni) su vie, piazze, strade e altri spazi aperti di interesse culturale o paesaggistico.</w:t>
      </w:r>
      <w:r w:rsidR="00EA6EC0" w:rsidRPr="00544D02">
        <w:rPr>
          <w:rFonts w:ascii="Bookman Old Style" w:hAnsi="Bookman Old Style"/>
        </w:rPr>
        <w:t xml:space="preserve"> </w:t>
      </w:r>
    </w:p>
    <w:p w14:paraId="0C4A5569" w14:textId="2D16891D" w:rsidR="00C46A0B" w:rsidRDefault="00C46A0B" w:rsidP="00EA6EC0">
      <w:pPr>
        <w:spacing w:after="0" w:line="276" w:lineRule="auto"/>
        <w:jc w:val="both"/>
        <w:rPr>
          <w:rFonts w:ascii="Bookman Old Style" w:hAnsi="Bookman Old Style"/>
        </w:rPr>
      </w:pPr>
    </w:p>
    <w:p w14:paraId="1F37374C" w14:textId="77777777" w:rsidR="00C46A0B" w:rsidRPr="00441E04" w:rsidRDefault="00C46A0B" w:rsidP="00441E04">
      <w:pPr>
        <w:autoSpaceDE w:val="0"/>
        <w:autoSpaceDN w:val="0"/>
        <w:spacing w:after="0" w:line="240" w:lineRule="auto"/>
        <w:jc w:val="both"/>
        <w:rPr>
          <w:rFonts w:ascii="Bookman Old Style" w:hAnsi="Bookman Old Style"/>
        </w:rPr>
      </w:pPr>
    </w:p>
    <w:p w14:paraId="2534ABEC" w14:textId="71A867E6" w:rsidR="00441E04" w:rsidRPr="0010653B" w:rsidRDefault="00441E04" w:rsidP="00441E04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eastAsiaTheme="majorEastAsia" w:hAnsi="Bookman Old Style" w:cstheme="majorBidi"/>
          <w:b/>
          <w:bCs/>
          <w:color w:val="2F5496" w:themeColor="accent1" w:themeShade="BF"/>
        </w:rPr>
      </w:pPr>
      <w:r w:rsidRPr="0010653B">
        <w:rPr>
          <w:rFonts w:ascii="Bookman Old Style" w:eastAsiaTheme="majorEastAsia" w:hAnsi="Bookman Old Style" w:cstheme="majorBidi"/>
          <w:b/>
          <w:bCs/>
          <w:color w:val="2F5496" w:themeColor="accent1" w:themeShade="BF"/>
        </w:rPr>
        <w:t xml:space="preserve">Regolarizzazione delle posizioni contributive </w:t>
      </w:r>
      <w:r w:rsidR="00AD0CA1">
        <w:rPr>
          <w:rFonts w:ascii="Bookman Old Style" w:eastAsiaTheme="majorEastAsia" w:hAnsi="Bookman Old Style" w:cstheme="majorBidi"/>
          <w:b/>
          <w:bCs/>
          <w:color w:val="2F5496" w:themeColor="accent1" w:themeShade="BF"/>
        </w:rPr>
        <w:t xml:space="preserve">INPS </w:t>
      </w:r>
      <w:r w:rsidRPr="0010653B">
        <w:rPr>
          <w:rFonts w:ascii="Bookman Old Style" w:eastAsiaTheme="majorEastAsia" w:hAnsi="Bookman Old Style" w:cstheme="majorBidi"/>
          <w:b/>
          <w:bCs/>
          <w:color w:val="2F5496" w:themeColor="accent1" w:themeShade="BF"/>
        </w:rPr>
        <w:t>(Art. 9, comma 2)</w:t>
      </w:r>
    </w:p>
    <w:p w14:paraId="581DEF15" w14:textId="6577E1B0" w:rsidR="007F216C" w:rsidRDefault="00787FFB" w:rsidP="008676E1">
      <w:pPr>
        <w:spacing w:after="0" w:line="240" w:lineRule="auto"/>
        <w:jc w:val="both"/>
        <w:rPr>
          <w:rFonts w:ascii="Bookman Old Style" w:hAnsi="Bookman Old Style"/>
        </w:rPr>
      </w:pPr>
      <w:r w:rsidRPr="007F216C">
        <w:rPr>
          <w:rFonts w:ascii="Bookman Old Style" w:hAnsi="Bookman Old Style"/>
        </w:rPr>
        <w:t>La norma</w:t>
      </w:r>
      <w:r w:rsidR="00474BD2">
        <w:rPr>
          <w:rFonts w:ascii="Bookman Old Style" w:hAnsi="Bookman Old Style"/>
        </w:rPr>
        <w:t>,</w:t>
      </w:r>
      <w:r w:rsidR="00BF2ADB">
        <w:rPr>
          <w:rFonts w:ascii="Bookman Old Style" w:hAnsi="Bookman Old Style"/>
        </w:rPr>
        <w:t xml:space="preserve"> </w:t>
      </w:r>
      <w:r w:rsidRPr="007F216C">
        <w:rPr>
          <w:rFonts w:ascii="Bookman Old Style" w:hAnsi="Bookman Old Style"/>
        </w:rPr>
        <w:t>richiesta dall’ANCI</w:t>
      </w:r>
      <w:r w:rsidR="00474BD2">
        <w:rPr>
          <w:rFonts w:ascii="Bookman Old Style" w:hAnsi="Bookman Old Style"/>
        </w:rPr>
        <w:t>,</w:t>
      </w:r>
      <w:r w:rsidR="00BD642A">
        <w:rPr>
          <w:rFonts w:ascii="Bookman Old Style" w:hAnsi="Bookman Old Style"/>
        </w:rPr>
        <w:t xml:space="preserve"> a seguito dell</w:t>
      </w:r>
      <w:r w:rsidR="00BC3FD2">
        <w:rPr>
          <w:rFonts w:ascii="Bookman Old Style" w:hAnsi="Bookman Old Style"/>
        </w:rPr>
        <w:t>e</w:t>
      </w:r>
      <w:r w:rsidR="00BC3FD2" w:rsidRPr="007F216C">
        <w:rPr>
          <w:rFonts w:ascii="Bookman Old Style" w:hAnsi="Bookman Old Style"/>
        </w:rPr>
        <w:t xml:space="preserve"> difficoltà e </w:t>
      </w:r>
      <w:r w:rsidR="00BD642A">
        <w:rPr>
          <w:rFonts w:ascii="Bookman Old Style" w:hAnsi="Bookman Old Style"/>
        </w:rPr>
        <w:t>del</w:t>
      </w:r>
      <w:r w:rsidR="00BC3FD2" w:rsidRPr="007F216C">
        <w:rPr>
          <w:rFonts w:ascii="Bookman Old Style" w:hAnsi="Bookman Old Style"/>
        </w:rPr>
        <w:t>la complessità delle procedure di revisione delle posizioni contributive</w:t>
      </w:r>
      <w:r w:rsidRPr="007F216C">
        <w:rPr>
          <w:rFonts w:ascii="Bookman Old Style" w:hAnsi="Bookman Old Style"/>
        </w:rPr>
        <w:t xml:space="preserve"> </w:t>
      </w:r>
      <w:r w:rsidR="00F931A4">
        <w:rPr>
          <w:rFonts w:ascii="Bookman Old Style" w:hAnsi="Bookman Old Style"/>
        </w:rPr>
        <w:t xml:space="preserve">segnalate dalle sedi regionali dell’INPS, </w:t>
      </w:r>
      <w:r w:rsidRPr="007F216C">
        <w:rPr>
          <w:rFonts w:ascii="Bookman Old Style" w:hAnsi="Bookman Old Style"/>
        </w:rPr>
        <w:t xml:space="preserve">proroga </w:t>
      </w:r>
      <w:r w:rsidR="00EE0D0B" w:rsidRPr="00A41CEE">
        <w:rPr>
          <w:rFonts w:ascii="Bookman Old Style" w:hAnsi="Bookman Old Style"/>
          <w:u w:val="single"/>
        </w:rPr>
        <w:t>al 31 dicembre 2023</w:t>
      </w:r>
      <w:r w:rsidR="00EE0D0B" w:rsidRPr="007F216C">
        <w:rPr>
          <w:rFonts w:ascii="Bookman Old Style" w:hAnsi="Bookman Old Style"/>
        </w:rPr>
        <w:t xml:space="preserve"> il termine</w:t>
      </w:r>
      <w:r w:rsidRPr="007F216C">
        <w:rPr>
          <w:rFonts w:ascii="Bookman Old Style" w:hAnsi="Bookman Old Style"/>
        </w:rPr>
        <w:t xml:space="preserve"> per la regolarizzazione delle posizioni contributive di cui all’articolo 3, comma 10-bis</w:t>
      </w:r>
      <w:r w:rsidR="00AD0CA1">
        <w:rPr>
          <w:rFonts w:ascii="Bookman Old Style" w:hAnsi="Bookman Old Style"/>
        </w:rPr>
        <w:t>,</w:t>
      </w:r>
      <w:r w:rsidRPr="007F216C">
        <w:rPr>
          <w:rFonts w:ascii="Bookman Old Style" w:hAnsi="Bookman Old Style"/>
        </w:rPr>
        <w:t xml:space="preserve"> della legge 335/1995, così come modificato dal decreto legge n. 4/2019</w:t>
      </w:r>
      <w:r w:rsidR="007F216C">
        <w:rPr>
          <w:rFonts w:ascii="Bookman Old Style" w:hAnsi="Bookman Old Style"/>
        </w:rPr>
        <w:t>.</w:t>
      </w:r>
    </w:p>
    <w:p w14:paraId="722A5DEF" w14:textId="6D428D17" w:rsidR="00275169" w:rsidRDefault="007F216C" w:rsidP="008676E1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Si ricorda che</w:t>
      </w:r>
      <w:r w:rsidR="00D728A3">
        <w:rPr>
          <w:rFonts w:ascii="Bookman Old Style" w:hAnsi="Bookman Old Style"/>
        </w:rPr>
        <w:t xml:space="preserve"> secondo tale norma </w:t>
      </w:r>
      <w:r w:rsidR="00787FFB" w:rsidRPr="007F216C">
        <w:rPr>
          <w:rFonts w:ascii="Bookman Old Style" w:hAnsi="Bookman Old Style"/>
        </w:rPr>
        <w:t>per le gestioni previdenziali esclusive e per i fondi per i trattamenti di previdenza, i trattamenti di fine rapporto e i trattamenti di fine servizio amministrati dall'INPS cui sono iscritti i lavoratori dipendenti delle amministrazioni pubbliche di cui al decreto legislativo 30 marzo 2001, n. 165, i termini di prescrizione di cui ai commi 9 e 10, riferiti agli obblighi relativi alle contribuzioni di previdenza e assistenza sociale obbligatoria afferenti ai periodi di competenza fino al 31 dicembre 2017</w:t>
      </w:r>
      <w:r w:rsidR="00AD0CA1">
        <w:rPr>
          <w:rFonts w:ascii="Bookman Old Style" w:hAnsi="Bookman Old Style"/>
        </w:rPr>
        <w:t>,</w:t>
      </w:r>
      <w:r w:rsidR="00787FFB" w:rsidRPr="007F216C">
        <w:rPr>
          <w:rFonts w:ascii="Bookman Old Style" w:hAnsi="Bookman Old Style"/>
        </w:rPr>
        <w:t xml:space="preserve"> non si applicano fino al 31 dicembre 2022, fatti salvi gli effetti di provvedimenti giurisdizionali passati in giudicato nonché il diritto all'integrale trattamento pensionistico del lavoratore</w:t>
      </w:r>
      <w:r w:rsidR="00D728A3">
        <w:rPr>
          <w:rFonts w:ascii="Bookman Old Style" w:hAnsi="Bookman Old Style"/>
        </w:rPr>
        <w:t>.</w:t>
      </w:r>
    </w:p>
    <w:p w14:paraId="24FB369E" w14:textId="5E33AA47" w:rsidR="00787FFB" w:rsidRDefault="00787FFB" w:rsidP="00787FFB">
      <w:pPr>
        <w:spacing w:after="0" w:line="240" w:lineRule="auto"/>
        <w:rPr>
          <w:rFonts w:ascii="Bookman Old Style" w:eastAsia="Times New Roman" w:hAnsi="Bookman Old Style"/>
        </w:rPr>
      </w:pPr>
    </w:p>
    <w:sectPr w:rsidR="00787F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T Std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ItalicMT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186"/>
    <w:multiLevelType w:val="hybridMultilevel"/>
    <w:tmpl w:val="1C8EE4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A799F"/>
    <w:multiLevelType w:val="hybridMultilevel"/>
    <w:tmpl w:val="582AC2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765D6"/>
    <w:multiLevelType w:val="hybridMultilevel"/>
    <w:tmpl w:val="FF2CC0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A2D18"/>
    <w:multiLevelType w:val="hybridMultilevel"/>
    <w:tmpl w:val="80F269A6"/>
    <w:lvl w:ilvl="0" w:tplc="40A0C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373898">
    <w:abstractNumId w:val="2"/>
  </w:num>
  <w:num w:numId="2" w16cid:durableId="147862103">
    <w:abstractNumId w:val="3"/>
  </w:num>
  <w:num w:numId="3" w16cid:durableId="1520970394">
    <w:abstractNumId w:val="2"/>
  </w:num>
  <w:num w:numId="4" w16cid:durableId="800151340">
    <w:abstractNumId w:val="0"/>
  </w:num>
  <w:num w:numId="5" w16cid:durableId="425155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04"/>
    <w:rsid w:val="0000682D"/>
    <w:rsid w:val="00010BF5"/>
    <w:rsid w:val="000329B4"/>
    <w:rsid w:val="000550C3"/>
    <w:rsid w:val="00081201"/>
    <w:rsid w:val="00087C47"/>
    <w:rsid w:val="0010653B"/>
    <w:rsid w:val="001345C1"/>
    <w:rsid w:val="001611CE"/>
    <w:rsid w:val="00183090"/>
    <w:rsid w:val="001B30A6"/>
    <w:rsid w:val="00214D56"/>
    <w:rsid w:val="00217361"/>
    <w:rsid w:val="00275169"/>
    <w:rsid w:val="002910D8"/>
    <w:rsid w:val="002A6333"/>
    <w:rsid w:val="002D1BA2"/>
    <w:rsid w:val="00375D28"/>
    <w:rsid w:val="003A1CCB"/>
    <w:rsid w:val="003A389A"/>
    <w:rsid w:val="0041271A"/>
    <w:rsid w:val="00441E04"/>
    <w:rsid w:val="00474BD2"/>
    <w:rsid w:val="00484968"/>
    <w:rsid w:val="004F01A0"/>
    <w:rsid w:val="005309D8"/>
    <w:rsid w:val="00544D02"/>
    <w:rsid w:val="005B54FA"/>
    <w:rsid w:val="0064789F"/>
    <w:rsid w:val="006506F8"/>
    <w:rsid w:val="007336FE"/>
    <w:rsid w:val="0075298A"/>
    <w:rsid w:val="00767709"/>
    <w:rsid w:val="007752B7"/>
    <w:rsid w:val="00787FFB"/>
    <w:rsid w:val="007A2ECD"/>
    <w:rsid w:val="007E0E31"/>
    <w:rsid w:val="007F216C"/>
    <w:rsid w:val="0081635B"/>
    <w:rsid w:val="008676E1"/>
    <w:rsid w:val="008837BB"/>
    <w:rsid w:val="008956AF"/>
    <w:rsid w:val="008A78CE"/>
    <w:rsid w:val="008E42C2"/>
    <w:rsid w:val="009512C8"/>
    <w:rsid w:val="009C018A"/>
    <w:rsid w:val="009C05D6"/>
    <w:rsid w:val="009C175F"/>
    <w:rsid w:val="00A41CEE"/>
    <w:rsid w:val="00A54DD5"/>
    <w:rsid w:val="00A620E3"/>
    <w:rsid w:val="00AC5200"/>
    <w:rsid w:val="00AD0CA1"/>
    <w:rsid w:val="00B1177F"/>
    <w:rsid w:val="00B20EE1"/>
    <w:rsid w:val="00B25464"/>
    <w:rsid w:val="00B32B29"/>
    <w:rsid w:val="00B52386"/>
    <w:rsid w:val="00BB24A0"/>
    <w:rsid w:val="00BC3FD2"/>
    <w:rsid w:val="00BD642A"/>
    <w:rsid w:val="00BF2ADB"/>
    <w:rsid w:val="00C16C47"/>
    <w:rsid w:val="00C27B4B"/>
    <w:rsid w:val="00C46A0B"/>
    <w:rsid w:val="00C551B5"/>
    <w:rsid w:val="00C64621"/>
    <w:rsid w:val="00D4357A"/>
    <w:rsid w:val="00D46DF7"/>
    <w:rsid w:val="00D728A3"/>
    <w:rsid w:val="00D833F5"/>
    <w:rsid w:val="00E451B4"/>
    <w:rsid w:val="00E838E7"/>
    <w:rsid w:val="00EA48EA"/>
    <w:rsid w:val="00EA6EC0"/>
    <w:rsid w:val="00EE0D0B"/>
    <w:rsid w:val="00F13C7C"/>
    <w:rsid w:val="00F61B86"/>
    <w:rsid w:val="00F931A4"/>
    <w:rsid w:val="00FC2882"/>
    <w:rsid w:val="00FE32E3"/>
    <w:rsid w:val="00FF1965"/>
    <w:rsid w:val="00FF475A"/>
    <w:rsid w:val="00FF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42B1"/>
  <w15:chartTrackingRefBased/>
  <w15:docId w15:val="{6A569279-863B-4B09-89F9-04403B18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E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41E04"/>
    <w:pPr>
      <w:autoSpaceDE w:val="0"/>
      <w:autoSpaceDN w:val="0"/>
      <w:adjustRightInd w:val="0"/>
      <w:spacing w:after="0" w:line="240" w:lineRule="auto"/>
    </w:pPr>
    <w:rPr>
      <w:rFonts w:ascii="Times LT Std" w:hAnsi="Times LT Std" w:cs="Times LT St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1E04"/>
    <w:pPr>
      <w:spacing w:line="252" w:lineRule="auto"/>
      <w:ind w:left="720"/>
      <w:contextualSpacing/>
    </w:pPr>
    <w:rPr>
      <w:rFonts w:ascii="Calibri" w:hAnsi="Calibri" w:cs="Calibri"/>
    </w:rPr>
  </w:style>
  <w:style w:type="character" w:customStyle="1" w:styleId="wkit-italic">
    <w:name w:val="wkit-italic"/>
    <w:basedOn w:val="Carpredefinitoparagrafo"/>
    <w:rsid w:val="00EA6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Sorrenti</dc:creator>
  <cp:keywords/>
  <dc:description/>
  <cp:lastModifiedBy>Stefania Dota</cp:lastModifiedBy>
  <cp:revision>2</cp:revision>
  <dcterms:created xsi:type="dcterms:W3CDTF">2022-12-22T14:39:00Z</dcterms:created>
  <dcterms:modified xsi:type="dcterms:W3CDTF">2022-12-22T14:39:00Z</dcterms:modified>
</cp:coreProperties>
</file>